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bookmarkStart w:id="0" w:name="_GoBack"/>
            <w:bookmarkEnd w:id="0"/>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9 Φεβρουαρίου 2018</w:t>
            </w:r>
            <w:r w:rsidRPr="007420E2">
              <w:rPr>
                <w:rFonts w:cs="Cambria"/>
                <w:b/>
                <w:bCs/>
                <w:color w:val="000000"/>
              </w:rPr>
              <w:br/>
              <w:t xml:space="preserve">Αριθ. </w:t>
            </w:r>
            <w:proofErr w:type="spellStart"/>
            <w:r w:rsidRPr="007420E2">
              <w:rPr>
                <w:rFonts w:cs="Cambria"/>
                <w:b/>
                <w:bCs/>
                <w:color w:val="000000"/>
              </w:rPr>
              <w:t>Πρωτ</w:t>
            </w:r>
            <w:proofErr w:type="spellEnd"/>
            <w:r w:rsidRPr="007420E2">
              <w:rPr>
                <w:rFonts w:cs="Cambria"/>
                <w:b/>
                <w:bCs/>
                <w:color w:val="000000"/>
              </w:rPr>
              <w:t xml:space="preserve">. : </w:t>
            </w:r>
            <w:r w:rsidR="00070740" w:rsidRPr="007420E2">
              <w:rPr>
                <w:rFonts w:cs="Cambria"/>
                <w:b/>
                <w:bCs/>
                <w:color w:val="000000"/>
              </w:rPr>
              <w:t>4120</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Pr="004715A7" w:rsidRDefault="007420E2" w:rsidP="007420E2">
            <w:pPr>
              <w:widowControl w:val="0"/>
              <w:tabs>
                <w:tab w:val="left" w:pos="15"/>
                <w:tab w:val="left" w:pos="5166"/>
              </w:tabs>
              <w:autoSpaceDE w:val="0"/>
              <w:autoSpaceDN w:val="0"/>
              <w:adjustRightInd w:val="0"/>
              <w:spacing w:after="0" w:line="240" w:lineRule="auto"/>
              <w:rPr>
                <w:rFonts w:cs="Calibri"/>
                <w:b/>
                <w:bCs/>
                <w:color w:val="000000"/>
              </w:rPr>
            </w:pPr>
            <w:r w:rsidRPr="004715A7">
              <w:rPr>
                <w:rFonts w:cs="Calibri"/>
                <w:b/>
                <w:bCs/>
                <w:color w:val="000000"/>
              </w:rPr>
              <w:t xml:space="preserve">ΠΡΟΣ :  </w:t>
            </w:r>
            <w:r w:rsidR="00B1220E" w:rsidRPr="004715A7">
              <w:rPr>
                <w:rFonts w:cs="Calibri"/>
                <w:b/>
                <w:bCs/>
                <w:color w:val="000000"/>
              </w:rPr>
              <w:t>1.</w:t>
            </w:r>
            <w:r w:rsidRPr="004715A7">
              <w:rPr>
                <w:rFonts w:cs="Calibri"/>
                <w:b/>
                <w:bCs/>
                <w:color w:val="000000"/>
              </w:rPr>
              <w:t>Τα μέλη της Οικονομικής</w:t>
            </w:r>
          </w:p>
          <w:p w:rsidR="007420E2" w:rsidRPr="004715A7" w:rsidRDefault="007420E2" w:rsidP="007420E2">
            <w:pPr>
              <w:widowControl w:val="0"/>
              <w:tabs>
                <w:tab w:val="left" w:pos="15"/>
                <w:tab w:val="left" w:pos="5166"/>
              </w:tabs>
              <w:autoSpaceDE w:val="0"/>
              <w:autoSpaceDN w:val="0"/>
              <w:adjustRightInd w:val="0"/>
              <w:spacing w:after="0" w:line="240" w:lineRule="auto"/>
              <w:ind w:left="720"/>
            </w:pPr>
            <w:r w:rsidRPr="004715A7">
              <w:rPr>
                <w:rFonts w:cs="Calibri"/>
                <w:b/>
                <w:bCs/>
                <w:color w:val="000000"/>
              </w:rPr>
              <w:t>Επιτροπής (Πίνακας Αποδεκτών)</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(σε περίπτωση κωλύματος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παρακαλείσθε να ενημερώσετε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6</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15η του μηνός </w:t>
      </w:r>
      <w:r w:rsidR="000A3D69" w:rsidRPr="00294D4D">
        <w:rPr>
          <w:rFonts w:cs="Calibri"/>
          <w:color w:val="000000"/>
        </w:rPr>
        <w:t>Φεβρουαρίου έτους 2018, ημέρα Πέμπτη και ώρα</w:t>
      </w:r>
      <w:r w:rsidR="00FB7327" w:rsidRPr="00294D4D">
        <w:rPr>
          <w:rFonts w:cs="Calibri"/>
          <w:color w:val="000000"/>
        </w:rPr>
        <w:t xml:space="preserve"> </w:t>
      </w:r>
      <w:r w:rsidR="00FB7327" w:rsidRPr="00294D4D">
        <w:rPr>
          <w:rFonts w:cs="Calibri"/>
        </w:rPr>
        <w:t>13:00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Επιστροφή αχρεωστήτως εισπραχθέντων ποσών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πληρωμή ποσού σύμφωνα με την αριθμ. 47/2018 απόφαση Δημοτικού Συμβουλίου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εξόφληση της 63/2017 τελεσίδικης απόφασης του Ειρηνοδικείου Τρικάλων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4</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πιστώσεων οικονομικού έτους 2018, για τις ανάγκες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5</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πιστώσεων  για τις ανάγκες του Τμήματος Προμηθειών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6</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&amp; Διάθεση πιστώσεων για τις ανάγκες του Τμήματος Πρασίνου &amp; Κηποτεχνίας της Δ/νσης Πρασίνου &amp; Τοπικής Οικονομίας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7</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έκδοσης χρηματικού εντάλματος προπληρωμής και δέσμευση ποσού 500 € στον προϋπολογισμό οικονομικού έτους 2018</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8</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25 ευρώ για μετακίνηση υπαλλήλου της Δ/νσης Κοινωνικής Μέριμνας και Αλληλεγγύης, στη Λάρισα</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9</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συντήρηση δικτύου ηλεκτροφωτισμού Δημοτικών Ενοτήτων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10</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για ετήσια συνδρομή του Δήμου στο Διαδημοτικό δίκτυο υγειών πόλεων οικονομικού έτους 2018</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11</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ψήφισης δαπάνης 5ου λογαριασμού (Αποκατάσταση βλαβών) έργου «Περιαστική ποδηλατική διαδρομή στις δημοτικές ενότητες Φαλώρειας και Καλλιδένδρου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12</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&amp; διάθεση πίστωσης ποσού 4.000,00€ για την υλοποίηση της Υπηρεσίας: «ΜΟΥΣΙΚΟΛΟΓΙΚΗ ΤΕΚΜΗΡΙΩΣΗ ΓΙΑ ΤΗΝ ΑΝΑΔΕΙΞΗ ΤΟΥ ΕΡΓΟΥ ΤΟΥ ΒΑΣΙΛΗ ΤΣΙΤΣΑΝΗ»</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13</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για την πληρωμή του 2ου λογαριασμού του έργου «ΑΝΑΚΑΙΝΙΣΗ ΚΛΕΙΣΤΟΥ ΚΟΛΥΜΒΗΤΗΡΙΟΥ ΔΗΜΟΥ ΤΡΙΚΚΑΙΩΝ Ν.ΤΡΙΚΑΛΩΝ »</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14</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την πληρωμή του 1ου λογαριασμού του έργου «Αστικές αναπλάσεις Δήμου Τρικκαίων (Συντηρήσεις πεζοδρομιών)»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15</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Συμπλήρωση της αριθμ. 14/2018 απόφαση Οικονομικής Επιτροπής με τα ονόματα των εκπροσώπων των φορέων που θα συμμετέχουν στις ετήσιες επιτροπές για τη διενέργεια διαγωνισμών για τη σύναψη δημοσίων συμβάσεων έργων και εκπόνησης μελετών και παροχής τεχνικών και λοιπών συναφών επιστημονικών υπηρεσιών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16</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Αποδοχή δωρεάς στην μνήμη του Θεμιστοκλή  Βούλγαρη</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17</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για επίδοση δικογράφων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lastRenderedPageBreak/>
        <w:t>18</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Λήψη απόφασης επί αιτήσεως της εταιρείας TECNEC περί ενδοσυμβιβαστικής επίλυσης της διαφοράς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19</w:t>
      </w:r>
      <w:r w:rsidR="00B67C55" w:rsidRPr="0009142D">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Μη άσκηση αναίρεσης κατά της αριθμ. 491/2017 απόφασης του Μονομελούς Εφετείου Λάρισας</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09142D" w:rsidRDefault="0009142D"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3" w:displacedByCustomXml="next"/>
          <w:bookmarkStart w:id="2"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B7D2FD3"/>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66265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1"/>
  </w:num>
  <w:num w:numId="9">
    <w:abstractNumId w:val="4"/>
  </w:num>
  <w:num w:numId="10">
    <w:abstractNumId w:val="12"/>
  </w:num>
  <w:num w:numId="11">
    <w:abstractNumId w:val="27"/>
  </w:num>
  <w:num w:numId="12">
    <w:abstractNumId w:val="13"/>
  </w:num>
  <w:num w:numId="13">
    <w:abstractNumId w:val="15"/>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6"/>
  </w:num>
  <w:num w:numId="21">
    <w:abstractNumId w:val="10"/>
  </w:num>
  <w:num w:numId="22">
    <w:abstractNumId w:val="20"/>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4"/>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3"/>
  </w:num>
  <w:num w:numId="34">
    <w:abstractNumId w:val="0"/>
  </w:num>
  <w:num w:numId="35">
    <w:abstractNumId w:val="7"/>
  </w:num>
  <w:num w:numId="36">
    <w:abstractNumId w:val="22"/>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142D"/>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162C3"/>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9142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9142D"/>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92B0E"/>
    <w:rsid w:val="007E34F0"/>
    <w:rsid w:val="007F2211"/>
    <w:rsid w:val="007F6F80"/>
    <w:rsid w:val="007F7D6E"/>
    <w:rsid w:val="00833AB2"/>
    <w:rsid w:val="00872200"/>
    <w:rsid w:val="00874619"/>
    <w:rsid w:val="00896E08"/>
    <w:rsid w:val="008B4C06"/>
    <w:rsid w:val="008F12EA"/>
    <w:rsid w:val="008F5FD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2B0E"/>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65E37B1A4F474563831DC29C942FFE541">
    <w:name w:val="65E37B1A4F474563831DC29C942FFE541"/>
    <w:rsid w:val="00792B0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792B0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ED672-260B-420D-B5CA-4AA2B609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2976</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2018-02-14T08:25:00Z</dcterms:created>
  <dcterms:modified xsi:type="dcterms:W3CDTF">2018-02-14T08:25:00Z</dcterms:modified>
</cp:coreProperties>
</file>