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5 Ιουλίου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25205</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B1220E" w:rsidRPr="004715A7" w:rsidRDefault="00B1220E" w:rsidP="00B1220E">
            <w:pPr>
              <w:pStyle w:val="a5"/>
              <w:numPr>
                <w:ilvl w:val="0"/>
                <w:numId w:val="38"/>
              </w:numPr>
              <w:ind w:left="742" w:firstLine="0"/>
              <w:rPr>
                <w:rFonts w:asciiTheme="minorHAnsi" w:eastAsiaTheme="minorEastAsia" w:hAnsiTheme="minorHAnsi" w:cs="Cambria"/>
                <w:bCs/>
                <w:color w:val="000000"/>
                <w:sz w:val="22"/>
                <w:szCs w:val="22"/>
              </w:rPr>
            </w:pPr>
            <w:r w:rsidRPr="000414E2">
              <w:rPr>
                <w:rFonts w:asciiTheme="minorHAnsi" w:eastAsiaTheme="minorEastAsia" w:hAnsiTheme="minorHAnsi" w:cs="Cambria"/>
                <w:bCs/>
                <w:color w:val="000000"/>
                <w:sz w:val="22"/>
                <w:szCs w:val="22"/>
              </w:rPr>
              <w:t xml:space="preserve">κ. </w:t>
            </w:r>
            <w:proofErr w:type="spellStart"/>
            <w:r w:rsidRPr="004715A7">
              <w:rPr>
                <w:rFonts w:asciiTheme="minorHAnsi" w:eastAsiaTheme="minorEastAsia" w:hAnsiTheme="minorHAnsi" w:cs="Cambria"/>
                <w:bCs/>
                <w:color w:val="000000"/>
                <w:sz w:val="22"/>
                <w:szCs w:val="22"/>
              </w:rPr>
              <w:t>Σιάφη</w:t>
            </w:r>
            <w:proofErr w:type="spellEnd"/>
            <w:r w:rsidRPr="004715A7">
              <w:rPr>
                <w:rFonts w:asciiTheme="minorHAnsi" w:eastAsiaTheme="minorEastAsia" w:hAnsiTheme="minorHAnsi" w:cs="Cambria"/>
                <w:bCs/>
                <w:color w:val="000000"/>
                <w:sz w:val="22"/>
                <w:szCs w:val="22"/>
              </w:rPr>
              <w:t xml:space="preserve"> Ιωάννα</w:t>
            </w:r>
            <w:r w:rsidRPr="004715A7">
              <w:rPr>
                <w:rFonts w:asciiTheme="minorHAnsi" w:eastAsiaTheme="minorEastAsia" w:hAnsiTheme="minorHAnsi"/>
                <w:bCs/>
                <w:sz w:val="22"/>
                <w:szCs w:val="22"/>
              </w:rPr>
              <w:t xml:space="preserve"> </w:t>
            </w:r>
            <w:r w:rsidRPr="004715A7">
              <w:rPr>
                <w:rFonts w:asciiTheme="minorHAnsi" w:eastAsiaTheme="minorEastAsia" w:hAnsiTheme="minorHAnsi" w:cs="Cambria"/>
                <w:bCs/>
                <w:color w:val="000000"/>
                <w:sz w:val="22"/>
                <w:szCs w:val="22"/>
              </w:rPr>
              <w:t xml:space="preserve">Πρόεδρος </w:t>
            </w:r>
            <w:proofErr w:type="spellStart"/>
            <w:r w:rsidRPr="004715A7">
              <w:rPr>
                <w:rFonts w:asciiTheme="minorHAnsi" w:eastAsiaTheme="minorEastAsia" w:hAnsiTheme="minorHAnsi" w:cs="Cambria"/>
                <w:bCs/>
                <w:color w:val="000000"/>
                <w:sz w:val="22"/>
                <w:szCs w:val="22"/>
              </w:rPr>
              <w:t>Δημ</w:t>
            </w:r>
            <w:proofErr w:type="spellEnd"/>
            <w:r w:rsidRPr="004715A7">
              <w:rPr>
                <w:rFonts w:asciiTheme="minorHAnsi" w:eastAsiaTheme="minorEastAsia" w:hAnsiTheme="minorHAnsi" w:cs="Cambria"/>
                <w:bCs/>
                <w:color w:val="000000"/>
                <w:sz w:val="22"/>
                <w:szCs w:val="22"/>
              </w:rPr>
              <w:t>. Κοινότητας Τρικκαίων</w:t>
            </w:r>
          </w:p>
          <w:p w:rsidR="00B1220E" w:rsidRDefault="00B1220E"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26</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11η του μηνός </w:t>
      </w:r>
      <w:r w:rsidR="000A3D69" w:rsidRPr="00294D4D">
        <w:rPr>
          <w:rFonts w:cs="Calibri"/>
          <w:color w:val="000000"/>
        </w:rPr>
        <w:t>Ιουλίου έτους 2018, ημέρα Τετάρτη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Διάθεση πίστωσης για την πληρωμή τελών κυκλοφορίας Μηχανημάτων Έργων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λογαριασμών των τιμολογίων πάγιας προκαταβολής των Προέδρων των Τοπικών Κοινοτήτων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5 - Κατακύρωση αποτελέσματος του αριθμ. 50622, 54490 Ηλεκτρονικού Διαγωνισμού:  «Προμήθεια ηλεκτρολογικού υλικού 2018» - Ματαίωση διαδικασίας για την ομάδα Γ και προσφυγή στη διαδικασία της διαπραγμάτευσης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&amp; διάθεση πιστώσεων για τις ανάγκες του Τμήματος Πρασίνου &amp; Κηποτεχνίας της Δ/νσης Πρασίνου &amp; Τοπικής Οικονομίας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συνολικού ποσού  4.500,00 € , για την υπηρεσία  «Ετήσια Συντήρηση - Υποστήριξη του Γεωγραφικού Πληροφοριακού Συστήματος (GIS) του Δήμου Τρικκαίων (Λογισμικό ArcGIS)»</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υδραυλικών υλικών, για τις ανάγκες της Δ/νσης Επιχειρησιακού Έργου, προκειμένου να καλυφθούν οι απαιτήσεις του Δήμου Τρικκαίων σε υδραυλικά είδη για την συντήρηση και επισκευή βλαβών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Υλικών Οδοποιίας, για τις ανάγκες της Δ/νσης Επιχειρησιακού Έργου για εργασίες οδοποιίας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τσιμεντοσωλήνων, για τις ανάγκες της Δ/νσης Επιχειρησιακού Έργου, προκειμένου να αποκατασταθούν – κατασκευαστούν αγωγοί όμβριων σε περιοχές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462/2018 απόφαση Οικονομικής Επιτροπής και εκ νέου λήψη απόφασης για έγκριση δαπανών για τις ανάγκες των Δημοτικών Ενοτήτων του Τομέα Α΄&amp; Β΄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463/2018 απόφασης Οικονομικής Επιτροπής και εκ νέου λήψη απόφασης για έγκριση δαπανών για τις ανάγκες των Δημοτικών Ενοτήτων του Τομέα Β΄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3ου λογαριασμού  του έργου "ΚΑΤΑΣΚΕΥΗ 8ΟΥ ΝΗΠΙΑΓΩΓΕΙΟΥ ΤΡΙΚΑΛΩΝ"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12</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6ου λογαριασμού  του έργου "ΑΣΦΑΛΤΟΣΤΡΩΣΕΙΣ ΟΔΩΝ ΠΟΛΗΣ ΤΡΙΚΑΛΩΝ 2017-2018¨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13</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7ου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διαγωνισμού για την «Παροχή υπηρεσιών συμβούλου για την εκπόνηση του Σχεδίου Βιώσιμης Αστικής Κινητικότητας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15</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των όρων διακήρυξης για την παραχώρηση της χρήσης του χώρου της Εμποροπανήγυρης (Τρικαλινού Παζαριού) έτους 2018  που προορίζεται για την εγκατάσταση και λειτουργία ψυχαγωγικών παιδειών (Λούνα Πάρκ) για την τέλεση της ετήσιας Εμποροπανήγυρης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των όρων διακήρυξης για την παραχώρηση της χρήσης του δικαιώματος παροχής ηλεκτρικού ρεύματος και του δικαιώματος κατασκευής παραγκών, για την τέλεση της ετήσιας Εμποροπανήγυρης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17</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των όρων διακήρυξης για την παραχώρηση της χρήσης των χώρων εμπορικών δραστηριοτήτων, για την τέλεση της ετήσιας Εμποροπανήγυρης 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18</w:t>
      </w:r>
      <w:r w:rsidR="00B67C55" w:rsidRPr="000414E2">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Άσκηση αναιρέσεως κατά της αριθμ. 18/2018 απόφασης του Μονομελούς Πρωτοδικείου Τρικάλων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Default="000414E2" w:rsidP="00FE17A4">
      <w:pPr>
        <w:widowControl w:val="0"/>
        <w:autoSpaceDE w:val="0"/>
        <w:autoSpaceDN w:val="0"/>
        <w:adjustRightInd w:val="0"/>
        <w:spacing w:after="0" w:line="248" w:lineRule="exact"/>
        <w:rPr>
          <w:rFonts w:ascii="Calibri" w:hAnsi="Calibri"/>
          <w:sz w:val="24"/>
          <w:szCs w:val="24"/>
          <w:lang w:val="en-US"/>
        </w:rPr>
      </w:pPr>
    </w:p>
    <w:p w:rsidR="000414E2" w:rsidRPr="000414E2" w:rsidRDefault="000414E2" w:rsidP="00FE17A4">
      <w:pPr>
        <w:widowControl w:val="0"/>
        <w:autoSpaceDE w:val="0"/>
        <w:autoSpaceDN w:val="0"/>
        <w:adjustRightInd w:val="0"/>
        <w:spacing w:after="0" w:line="248" w:lineRule="exact"/>
        <w:rPr>
          <w:rFonts w:ascii="Calibri" w:hAnsi="Calibri"/>
          <w:sz w:val="24"/>
          <w:szCs w:val="24"/>
          <w:lang w:val="en-US"/>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7B5C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A0BB62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87273B"/>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2"/>
  </w:num>
  <w:num w:numId="25">
    <w:abstractNumId w:val="29"/>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8"/>
  </w:num>
  <w:num w:numId="37">
    <w:abstractNumId w:val="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414E2"/>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B578E"/>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14E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14E2"/>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92407"/>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09F4"/>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DAF1-7D56-45C4-A093-39474CEF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3689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2018-07-10T08:41:00Z</dcterms:created>
  <dcterms:modified xsi:type="dcterms:W3CDTF">2018-07-10T08:41:00Z</dcterms:modified>
</cp:coreProperties>
</file>