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 xml:space="preserve">ΤΜΗΜΑ ΔΙΟΙΚΗΤΙΚΗΣ </w:t>
            </w:r>
            <w:r w:rsidR="005B00ED" w:rsidRPr="009920EA">
              <w:rPr>
                <w:rFonts w:cs="Cambria"/>
                <w:b/>
                <w:color w:val="000000"/>
              </w:rPr>
              <w:t>ΥΠΟΣΤΗΡΙΞΗΣ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11 Ιανουαρίου 2019</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705</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21η του μηνός </w:t>
      </w:r>
      <w:r w:rsidR="000A3D69" w:rsidRPr="00294D4D">
        <w:rPr>
          <w:rFonts w:cs="Calibri"/>
          <w:color w:val="000000"/>
        </w:rPr>
        <w:t>Ιανουαρίου έτους 2019, ημέρα Δευτέρα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1η αναμόρφωση προϋπολογισμού οικονομικού έτους 2019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απόδοσης λογαριασμού χρηματικών ενταλμάτων προπληρωμής και  απαλλαγή των  υπολόγων υπαλλήλων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1  της Επιτροπής διενέργειας του συνοπτικού  διαγωνισμού επιλογής αναδόχου για την κατασκευή του έργου «ΑΣΦΑΛΤΟΣΤΡΩΣΕΙΣ ΠΑΛΑΙΟΠΥΡΓΟΥ»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1  της Επιτροπής διενέργειας του ανοιχτού ηλεκτρονικού διαγωνισμού επιλογής αναδόχου για την κατασκευή του έργου  «ΒΕΛΤΙΩΣΗ ΠΡΟΣΒΑΣΗΣ ΣΕ ΑΓΡΟΚΤΗΝΟΤΡΟΦΙΚΕΣ ΕΚΜΕΤΑΛΛΕΥΣΕΙΣ ΣΤΟ ΔΗΜΟ ΤΡΙΚΚΑΙΩΝ»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2 της Επιτροπής διενέργειας του συνοπτικού  διαγωνισμού επιλογής αναδόχου για την κατασκευή του έργου «ΔΗΜΙΟΥΡΓΙΑ ΝΕΩΝ ΒΡΕΦΙΚΩΝ ΤΜΗΜΑΤΩΝ ΣΤΟΝ Α΄ ΚΑΙ Δ΄ ΒΡΕΦΟΝΗΠΙΑΚΟ ΣΤΑΘΜΟ ΤΟΥ ΔΗΜΟΥ ΤΡΙΚΚΑΙΩΝ»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Πρόσκλησης της Δ/νσης Τεχνικών Υπηρεσιών για την κατάρτιση καταλόγων εργοληπτών και μελετητών του άρθρου 118 παρ. 5 του Ν. 4412/2016 για την επιλογή αναδόχων (με την διαδικασία της απ’ 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Τρικκαίων, έτους 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Συγκρότηση επιτροπής διενέργειας ηλεκτρονικών κληρώσεων μέσω του ΚΗΣΚ για την ανάθεση δημοσίων συμβάσεων έργων, μελετών και παροχής συναφών υπηρεσιών, των οποίων η εκτιμώμενη αξία της σύμβασης είναι ίση ή κατώτερη των 20.000,00€ χωρίς ΦΠΑ, για το έτος 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Συγκρότηση Επιτροπών για την κατάρτιση και λειτουργία του Μητρώου μελών επιτροπών διαδικασίας σύναψης δημοσίων συμβάσεων έργων, μελετών και παροχής τεχνικών και λοιπών συναφών υπηρεσιών (Μη.Μ.Ε.Δ.) της παρ.8 (η) του άρθρου 221 του Ν. 4412/2016 για το έτος 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8 (Συμμόρφωση με Απόφαση ΑΕΠΠ) της Επιτροπής διενέργειας του  60331 ηλεκτρονικού διαγωνισμού με τίτλο: «Προμήθεια ηλεκτρικού ρεύματος και φυσικού αερίου του Δήμου Τρικκαίων και των νομικών προσώπων του»</w:t>
      </w:r>
    </w:p>
    <w:p w:rsidR="00793634" w:rsidRPr="00793634" w:rsidRDefault="00793634" w:rsidP="007A4284">
      <w:pPr>
        <w:pStyle w:val="a5"/>
        <w:numPr>
          <w:ilvl w:val="0"/>
          <w:numId w:val="36"/>
        </w:numPr>
        <w:rPr>
          <w:rFonts w:ascii="Cambria" w:hAnsi="Cambria"/>
          <w:bCs/>
        </w:rPr>
      </w:pPr>
    </w:p>
    <w:p w:rsidR="00793634" w:rsidRPr="00793634" w:rsidRDefault="00793634" w:rsidP="007A4284">
      <w:pPr>
        <w:pStyle w:val="a5"/>
        <w:numPr>
          <w:ilvl w:val="0"/>
          <w:numId w:val="36"/>
        </w:numPr>
        <w:rPr>
          <w:rFonts w:ascii="Cambria" w:hAnsi="Cambria"/>
          <w:bCs/>
        </w:rPr>
      </w:pPr>
    </w:p>
    <w:p w:rsidR="00793634" w:rsidRPr="00793634" w:rsidRDefault="00793634" w:rsidP="007A4284">
      <w:pPr>
        <w:pStyle w:val="a5"/>
        <w:numPr>
          <w:ilvl w:val="0"/>
          <w:numId w:val="36"/>
        </w:numPr>
        <w:rPr>
          <w:rFonts w:ascii="Cambria" w:hAnsi="Cambria"/>
          <w:bCs/>
        </w:rPr>
      </w:pPr>
    </w:p>
    <w:p w:rsidR="00793634" w:rsidRPr="00793634" w:rsidRDefault="00793634" w:rsidP="007A4284">
      <w:pPr>
        <w:pStyle w:val="a5"/>
        <w:numPr>
          <w:ilvl w:val="0"/>
          <w:numId w:val="36"/>
        </w:numPr>
        <w:rPr>
          <w:rFonts w:ascii="Cambria" w:hAnsi="Cambria"/>
          <w:bCs/>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10</w:t>
      </w:r>
      <w:r w:rsidR="00B67C55" w:rsidRPr="0079363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κατάθεσης προτάσεων στο Mονομελές Πρωτοδικείο  Τρικάλων σχετικά με την αριθμ. καταθ. ΤΜ 106/2018 αγωγή του Αθανασίου Παύλου Σπυρόπουλου, κατοίκου Τρικάλων κατά του Δήμου Τρικκαίων κ.λ.π.</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Pr="00793634" w:rsidRDefault="005B00ED" w:rsidP="006B23F1">
            <w:pPr>
              <w:widowControl w:val="0"/>
              <w:tabs>
                <w:tab w:val="left" w:pos="5886"/>
              </w:tabs>
              <w:autoSpaceDE w:val="0"/>
              <w:autoSpaceDN w:val="0"/>
              <w:adjustRightInd w:val="0"/>
              <w:spacing w:after="0" w:line="240" w:lineRule="auto"/>
              <w:rPr>
                <w:rFonts w:ascii="Calibri" w:hAnsi="Calibri"/>
              </w:rPr>
            </w:pPr>
            <w:r w:rsidRPr="00793634">
              <w:rPr>
                <w:rFonts w:ascii="Calibri" w:hAnsi="Calibri" w:cs="Calibri"/>
                <w:b/>
                <w:bCs/>
                <w:color w:val="000000"/>
              </w:rPr>
              <w:t>Ο</w:t>
            </w:r>
            <w:r w:rsidR="006B23F1" w:rsidRPr="00793634">
              <w:rPr>
                <w:rFonts w:ascii="Calibri" w:hAnsi="Calibri" w:cs="Calibri"/>
                <w:b/>
                <w:bCs/>
                <w:color w:val="000000"/>
              </w:rPr>
              <w:t xml:space="preserve"> Πρόεδρος της Οικονομικής Επιτροπής</w:t>
            </w:r>
          </w:p>
          <w:p w:rsidR="00167A8D" w:rsidRPr="00793634" w:rsidRDefault="00167A8D" w:rsidP="006B23F1">
            <w:pPr>
              <w:widowControl w:val="0"/>
              <w:tabs>
                <w:tab w:val="left" w:pos="6426"/>
              </w:tabs>
              <w:autoSpaceDE w:val="0"/>
              <w:autoSpaceDN w:val="0"/>
              <w:adjustRightInd w:val="0"/>
              <w:spacing w:after="0" w:line="240" w:lineRule="auto"/>
              <w:rPr>
                <w:rFonts w:ascii="Calibri" w:hAnsi="Calibri"/>
              </w:rPr>
            </w:pPr>
          </w:p>
          <w:p w:rsidR="00EA34E8" w:rsidRPr="00793634" w:rsidRDefault="00EA34E8" w:rsidP="006B23F1">
            <w:pPr>
              <w:widowControl w:val="0"/>
              <w:tabs>
                <w:tab w:val="left" w:pos="6426"/>
              </w:tabs>
              <w:autoSpaceDE w:val="0"/>
              <w:autoSpaceDN w:val="0"/>
              <w:adjustRightInd w:val="0"/>
              <w:spacing w:after="0" w:line="240" w:lineRule="auto"/>
              <w:rPr>
                <w:rFonts w:ascii="Calibri" w:hAnsi="Calibri"/>
              </w:rPr>
            </w:pPr>
          </w:p>
          <w:p w:rsidR="006B23F1" w:rsidRPr="00793634" w:rsidRDefault="005B00ED" w:rsidP="00167A8D">
            <w:pPr>
              <w:widowControl w:val="0"/>
              <w:tabs>
                <w:tab w:val="left" w:pos="6426"/>
              </w:tabs>
              <w:autoSpaceDE w:val="0"/>
              <w:autoSpaceDN w:val="0"/>
              <w:adjustRightInd w:val="0"/>
              <w:spacing w:after="0" w:line="240" w:lineRule="auto"/>
              <w:jc w:val="center"/>
              <w:rPr>
                <w:rFonts w:ascii="Calibri" w:hAnsi="Calibri"/>
                <w:b/>
              </w:rPr>
            </w:pPr>
            <w:proofErr w:type="spellStart"/>
            <w:r w:rsidRPr="00793634">
              <w:rPr>
                <w:rFonts w:ascii="Calibri" w:hAnsi="Calibri"/>
                <w:b/>
              </w:rPr>
              <w:t>Ρόμπος</w:t>
            </w:r>
            <w:proofErr w:type="spellEnd"/>
            <w:r w:rsidRPr="00793634">
              <w:rPr>
                <w:rFonts w:ascii="Calibri" w:hAnsi="Calibri"/>
                <w:b/>
              </w:rPr>
              <w:t xml:space="preserve"> Χριστόφορος</w:t>
            </w:r>
          </w:p>
          <w:p w:rsidR="006B23F1" w:rsidRDefault="006B23F1" w:rsidP="00167A8D">
            <w:pPr>
              <w:widowControl w:val="0"/>
              <w:tabs>
                <w:tab w:val="left" w:pos="7206"/>
              </w:tabs>
              <w:autoSpaceDE w:val="0"/>
              <w:autoSpaceDN w:val="0"/>
              <w:adjustRightInd w:val="0"/>
              <w:spacing w:after="0" w:line="240" w:lineRule="auto"/>
              <w:jc w:val="center"/>
            </w:pPr>
            <w:r w:rsidRPr="00793634">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793634" w:rsidRDefault="0079363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Ρόμπος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Ντιντής Παναγιώτης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3" w:displacedByCustomXml="next"/>
          <w:bookmarkStart w:id="1"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5B00ED" w:rsidRPr="00252AF2" w:rsidRDefault="005B00ED" w:rsidP="00FC19D3">
                    <w:pPr>
                      <w:spacing w:after="0" w:line="240" w:lineRule="auto"/>
                      <w:contextualSpacing/>
                      <w:rPr>
                        <w:rFonts w:ascii="Times New Roman" w:eastAsia="Times New Roman" w:hAnsi="Times New Roman" w:cs="Times New Roman"/>
                        <w:sz w:val="16"/>
                        <w:szCs w:val="16"/>
                      </w:rPr>
                    </w:pPr>
                  </w:p>
                  <w:p w:rsidR="005B00ED" w:rsidRPr="00252AF2" w:rsidRDefault="005B00ED" w:rsidP="005B00ED">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bookmarkStart w:id="2" w:name="_GoBack"/>
            <w:bookmarkEnd w:id="2"/>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F906B"/>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BAD2ADB"/>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7"/>
  </w:num>
  <w:num w:numId="12">
    <w:abstractNumId w:val="14"/>
  </w:num>
  <w:num w:numId="13">
    <w:abstractNumId w:val="16"/>
  </w:num>
  <w:num w:numId="14">
    <w:abstractNumId w:val="3"/>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87DB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93634"/>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9363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93634"/>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3EE"/>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9470-18E3-45A7-8D79-4F1BF020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2778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2019-01-18T09:22:00Z</dcterms:created>
  <dcterms:modified xsi:type="dcterms:W3CDTF">2019-01-18T09:22:00Z</dcterms:modified>
</cp:coreProperties>
</file>