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22 Φεβρουαρίου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4576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Default="00071693" w:rsidP="00870187">
            <w:pPr>
              <w:pStyle w:val="a5"/>
              <w:ind w:left="742"/>
              <w:rPr>
                <w:rFonts w:ascii="Verdana" w:eastAsiaTheme="minorEastAsia" w:hAnsi="Verdana" w:cs="Cambria"/>
                <w:bCs/>
                <w:color w:val="000000"/>
                <w:sz w:val="18"/>
                <w:szCs w:val="18"/>
                <w:lang w:val="en-US"/>
              </w:rPr>
            </w:pPr>
          </w:p>
          <w:p w:rsidR="00870187" w:rsidRPr="00092877" w:rsidRDefault="00870187" w:rsidP="00870187">
            <w:pPr>
              <w:pStyle w:val="a5"/>
              <w:ind w:left="742"/>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12</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870187" w:rsidRDefault="00870187" w:rsidP="00870187">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Pr>
          <w:rFonts w:ascii="Verdana" w:hAnsi="Verdana" w:cs="Cambria"/>
          <w:color w:val="000000"/>
          <w:sz w:val="18"/>
          <w:szCs w:val="18"/>
        </w:rPr>
        <w:t xml:space="preserve">Καλείστε να προσέλθετε σε τακτική συνεδρίαση </w:t>
      </w:r>
      <w:r>
        <w:rPr>
          <w:rFonts w:ascii="Verdana" w:hAnsi="Verdana" w:cs="Calibri"/>
          <w:color w:val="000000"/>
          <w:sz w:val="18"/>
          <w:szCs w:val="18"/>
        </w:rPr>
        <w:t>της Οικονομικής Επιτροπής</w:t>
      </w:r>
      <w:r>
        <w:rPr>
          <w:rFonts w:ascii="Verdana" w:hAnsi="Verdana" w:cs="Cambria"/>
          <w:color w:val="000000"/>
          <w:sz w:val="18"/>
          <w:szCs w:val="18"/>
        </w:rPr>
        <w:t xml:space="preserve">, η οποία θα πραγματοποιηθεί </w:t>
      </w:r>
      <w:r>
        <w:rPr>
          <w:rFonts w:ascii="Verdana" w:hAnsi="Verdana" w:cs="Cambria"/>
          <w:sz w:val="18"/>
          <w:szCs w:val="18"/>
        </w:rPr>
        <w:t xml:space="preserve">με τηλεδιάσκεψη μέσω </w:t>
      </w:r>
      <w:r>
        <w:rPr>
          <w:rFonts w:ascii="Verdana" w:hAnsi="Verdana"/>
          <w:sz w:val="18"/>
          <w:szCs w:val="18"/>
        </w:rPr>
        <w:t>"</w:t>
      </w:r>
      <w:proofErr w:type="spellStart"/>
      <w:r>
        <w:rPr>
          <w:rFonts w:ascii="Verdana" w:hAnsi="Verdana"/>
          <w:sz w:val="18"/>
          <w:szCs w:val="18"/>
        </w:rPr>
        <w:t>Cisco</w:t>
      </w:r>
      <w:proofErr w:type="spellEnd"/>
      <w:r>
        <w:rPr>
          <w:rFonts w:ascii="Verdana" w:hAnsi="Verdana"/>
          <w:sz w:val="18"/>
          <w:szCs w:val="18"/>
        </w:rPr>
        <w:t xml:space="preserve"> </w:t>
      </w:r>
      <w:proofErr w:type="spellStart"/>
      <w:r>
        <w:rPr>
          <w:rFonts w:ascii="Verdana" w:hAnsi="Verdana"/>
          <w:sz w:val="18"/>
          <w:szCs w:val="18"/>
        </w:rPr>
        <w:t>Webex</w:t>
      </w:r>
      <w:proofErr w:type="spellEnd"/>
      <w:r>
        <w:rPr>
          <w:rFonts w:ascii="Verdana" w:hAnsi="Verdana"/>
          <w:sz w:val="18"/>
          <w:szCs w:val="18"/>
        </w:rPr>
        <w:t>",</w:t>
      </w:r>
      <w:r>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Pr>
          <w:rFonts w:ascii="Verdana" w:hAnsi="Verdana" w:cs="Cambria"/>
          <w:sz w:val="18"/>
          <w:szCs w:val="18"/>
        </w:rPr>
        <w:t>Κορωναϊού</w:t>
      </w:r>
      <w:proofErr w:type="spellEnd"/>
      <w:r>
        <w:rPr>
          <w:rFonts w:ascii="Verdana" w:hAnsi="Verdana" w:cs="Cambria"/>
          <w:sz w:val="18"/>
          <w:szCs w:val="18"/>
        </w:rPr>
        <w:t xml:space="preserve"> </w:t>
      </w:r>
      <w:proofErr w:type="spellStart"/>
      <w:r>
        <w:rPr>
          <w:rFonts w:ascii="Verdana" w:hAnsi="Verdana" w:cs="Cambria"/>
          <w:sz w:val="18"/>
          <w:szCs w:val="18"/>
          <w:lang w:val="en-US"/>
        </w:rPr>
        <w:t>Covid</w:t>
      </w:r>
      <w:proofErr w:type="spellEnd"/>
      <w:r>
        <w:rPr>
          <w:rFonts w:ascii="Verdana" w:hAnsi="Verdana" w:cs="Cambria"/>
          <w:sz w:val="18"/>
          <w:szCs w:val="18"/>
        </w:rPr>
        <w:t xml:space="preserve"> 19) και </w:t>
      </w:r>
      <w:r>
        <w:rPr>
          <w:rFonts w:ascii="Verdana" w:hAnsi="Verdana"/>
          <w:sz w:val="18"/>
          <w:szCs w:val="18"/>
        </w:rPr>
        <w:t xml:space="preserve">τις υπ’ </w:t>
      </w:r>
      <w:proofErr w:type="spellStart"/>
      <w:r>
        <w:rPr>
          <w:rFonts w:ascii="Verdana" w:hAnsi="Verdana"/>
          <w:sz w:val="18"/>
          <w:szCs w:val="18"/>
        </w:rPr>
        <w:t>αριθμ</w:t>
      </w:r>
      <w:proofErr w:type="spellEnd"/>
      <w:r>
        <w:rPr>
          <w:rFonts w:ascii="Verdana" w:hAnsi="Verdana"/>
          <w:sz w:val="18"/>
          <w:szCs w:val="18"/>
        </w:rPr>
        <w:t xml:space="preserve">. 18318/13-03-2020, 20930/31-03-2020 και </w:t>
      </w:r>
      <w:r>
        <w:rPr>
          <w:rFonts w:ascii="Verdana" w:hAnsi="Verdana" w:cs="Calibri"/>
          <w:color w:val="000000"/>
          <w:sz w:val="18"/>
          <w:szCs w:val="18"/>
        </w:rPr>
        <w:t xml:space="preserve">426/13.11.2020 </w:t>
      </w:r>
      <w:r>
        <w:rPr>
          <w:rFonts w:ascii="Verdana" w:hAnsi="Verdana"/>
          <w:sz w:val="18"/>
          <w:szCs w:val="18"/>
        </w:rPr>
        <w:t xml:space="preserve">εγκυκλίους του Υπουργείου Εσωτερικών, και </w:t>
      </w:r>
      <w:r>
        <w:rPr>
          <w:rFonts w:ascii="Verdana" w:hAnsi="Verdana" w:cs="Cambria"/>
          <w:color w:val="000000"/>
          <w:sz w:val="18"/>
          <w:szCs w:val="18"/>
        </w:rPr>
        <w:t xml:space="preserve">θα διεξαχθεί στο Δημοτικό Κατάστημα </w:t>
      </w:r>
      <w:r>
        <w:rPr>
          <w:rFonts w:ascii="Verdana" w:hAnsi="Verdana" w:cs="Calibri"/>
          <w:color w:val="000000"/>
          <w:sz w:val="18"/>
          <w:szCs w:val="18"/>
        </w:rPr>
        <w:t xml:space="preserve">την 26η του μηνός Φεβρουαρίου έτους 2021, ημέρα Παρασκευή και ώρα </w:t>
      </w:r>
      <w:r>
        <w:rPr>
          <w:rFonts w:ascii="Verdana" w:hAnsi="Verdana" w:cs="Calibri"/>
          <w:sz w:val="18"/>
          <w:szCs w:val="18"/>
        </w:rPr>
        <w:t>13:00</w:t>
      </w:r>
      <w:r>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Τριμηνιαία Έκθεση εκτέλεσης προϋπολογισμού Δ’ Τριμήνου 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Ολοκληρωμένου Πλαισίου Δράσης (ΟΠΔ)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απαλλαγή του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πράξης   βεβαίωσης  παράβασης  ΚΟΚ από χρηματικό  κατάλογο,  και επαναβεβαίωση στον  σωστό  οφειλέτη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βρεφονηπιακών σταθμών λόγω διαγραφής των παιδιών για το σχολικό έτος 2020-2021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Διαπραγμάτευσης για την « Προμήθεια Εξοπλισμού Πολιτικής Προστασίας για την Πρόληψη και Αντιμετώπιση Φυσικών Καταστροφών Δήμου Τρικκαίων» περί παράτασης  συμβάσεων  «ΠΡΟΜΗΘΕΙΑΣ ΕΞΟΠΛΙΣΜΟΥ ΠΟΛΙΤΙΚΗΣ ΠΡΟΣΤΑΣΙΑΣ για την πρόληψη και αντιμετώπιση φυσικών καταστροφών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3ου ΑΝΑΚΕΦΑΛΑΙΩΤΙΚΟΥ ΠΙΝΑΚΑ ΕΡΓΑΣΙΩΝ (Α.Π.Ε.) του έργου «ΑΣΦΑΛΤΟΣΤΡΩΣΕΙΣ ΔΗΜΟΥ ΤΡΚΚΑΙΩΝ  2019-2020»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χορήγησης παράτασης προθεσμίας περαίωσης του έργου «Τσιμεντόστρωση εσωτερικής οδοποιίας Κοινότητας </w:t>
      </w:r>
      <w:proofErr w:type="spellStart"/>
      <w:r w:rsidR="00204AC3" w:rsidRPr="00092877">
        <w:rPr>
          <w:rFonts w:ascii="Verdana" w:hAnsi="Verdana" w:cs="Cambria"/>
          <w:bCs/>
          <w:color w:val="000000"/>
          <w:sz w:val="18"/>
          <w:szCs w:val="18"/>
        </w:rPr>
        <w:t>Λιόπρασσου</w:t>
      </w:r>
      <w:proofErr w:type="spellEnd"/>
      <w:r w:rsidR="00204AC3" w:rsidRPr="00092877">
        <w:rPr>
          <w:rFonts w:ascii="Verdana" w:hAnsi="Verdana" w:cs="Cambria"/>
          <w:bCs/>
          <w:color w:val="000000"/>
          <w:sz w:val="18"/>
          <w:szCs w:val="18"/>
        </w:rPr>
        <w:t xml:space="preserve"> και οικισμού Λαγκαδιάς»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0D6C63" w:rsidRPr="00092877">
        <w:rPr>
          <w:rFonts w:ascii="Verdana" w:hAnsi="Verdana" w:cs="Cambria"/>
          <w:bCs/>
          <w:color w:val="000000"/>
          <w:sz w:val="18"/>
          <w:szCs w:val="18"/>
        </w:rPr>
        <w:t>Έγκριση</w:t>
      </w:r>
      <w:r w:rsidR="00204AC3" w:rsidRPr="00092877">
        <w:rPr>
          <w:rFonts w:ascii="Verdana" w:hAnsi="Verdana" w:cs="Cambria"/>
          <w:bCs/>
          <w:color w:val="000000"/>
          <w:sz w:val="18"/>
          <w:szCs w:val="18"/>
        </w:rPr>
        <w:t xml:space="preserve"> χορήγησης παράτασης προθεσμίας περαίωσης των εργασιών του έργου «ΠΕΖΟΔΡΟΜΗΣΕΙΣ ΟΔΩΝ ΕΝΤΟΣ ΟΙΚΙΣΜΟΥ ΚΟΙΝΟΤΗΤΑΣ ΜΕΓΑΛΟΧΩΡΙΟΥ»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ανοικτού διαγωνισμού του έργου: Υποέργο 1: «Επέκταση , αναβάθμιση πεζοδρομίων &amp; δημιουργία κυκλικών κόμβων» Π/Υ 1.238.508,97 €.</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07/2021 μελέτης με τίτλο «ΕΝΕΡΓΕΙΑΚΗ ΑΝΑΒΑΘΜΙΣΗ  2ου ΓΥΜΝΑΣΙΟΥ ΤΡΙΚΑΛΩΝ» καθώς και των ΣΑΥ και ΦΑΥ που τη συνοδεύουν και της κατάθεσης φακέλου –πρότασης για τη χρηματοδότηση υλοποίησης της πράξης με τίτλο «ΕΝΕΡΓΕΙΑΚΗ ΑΝΑΒΑΘΜΙΣΗ 2ου ΓΥΜΝΑΣΙΟΥ ΤΡΙΚΑΛΩΝ» συνολικού Π/Υ 1.200.000,00€ (συμπεριλαμβανομένου του ΦΠΑ) στο πλαίσιο της με αρ. 175/19-1-2021 πρόσκλησης με τίτλο «Ενίσχυση της ενεργειακής απόδοσης των δημόσιων κτηρίων στη Θεσσαλία» του Ε.Π «Περιφερειακό επιχειρησιακό πρόγραμμα Θεσσαλίας 2014-2020»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08/2021 μελέτης με τίτλο «ΕΝΕΡΓΕΙΑΚΗ ΑΝΑΒΑΘΜΙΣΗ  ΓΥΜΝΑΣΙΟΥ-ΛΥΚΕΙΟΥ ΒΑΛΤΙΝΟΥ Δ. ΤΡΙΚΚΑΙΩΝ» και της κατάθεσης φακέλου –πρότασης για τη χρηματοδότηση υλοποίησης της πράξης με τίτλο «ΕΝΕΡΓΕΙΑΚΗ ΑΝΑΒΑΘΜΙΣΗ ΓΥΜΝΑΣΙΟΥ ΛΥΚΕΙΟΥ ΒΑΛΤΙΝΟΥ Δ. ΤΡΙΚΚΑΙΩΝ» συνολικού Π/Υ 1.200.000,00€ (συμπεριλαμβανομένου του ΦΠΑ 24%) στο πλαίσιο της με αρ. 175/19-1-2021 πρόσκλησης με τίτλο «Ενίσχυση της ενεργειακής απόδοσης των δημόσιων κτηρίων στη Θεσσαλία» του Ε.Π «Περιφερειακό επιχειρησιακό πρόγραμμα Θεσσαλίας 2014-2020»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Πρόσληψη Έκτακτου Προσωπικού για Κάλυψη Εποχικών Αναγκών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σύμβασης "Βελτίωσης - Συντήρησης - τεχνικής υποστήριξης του Ολοκληρωμένου Πληροφορικού Συστήματος των διοικητικών - οικονομικών υπηρεσιών του Δήμου Τρικκαίων, για το έτος 2021" με τη διαδικασία της διαπραγμάτευσης χωρίς δημοσίευση, λόγω αποκλειστικότητας, έγκριση τεχνικών προδιαγραφών, καθορισμός όρων της πρόσκλησης διαπραγμάτευσης χωρίς δημοσίευση και συγκρότηση τριμελούς επιτροπής διαπραγμάτευσης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15</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απόφασης του Δ.Σ. του ΚΕΝΤΡΟ ΕΡΕΥΝΑΣ-ΜΟΥΣΕΙΟ ΤΣΙΤΣΑΝΗ», σχετική με την  έγκριση προϋπολογισμού   του ΝΠΔΔ - «ΚΕΝΤΡΟ ΕΡΕΥΝΑΣ- ΜΟΥΣΕΙΟ ΤΣΙΤΣΑΝΗ» έτους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της απόφασης του Δ.Σ. του ΚΕΝΤΡΟ ΕΡΕΥΝΑΣ-ΜΟΥΣΕΙΟ ΤΣΙΤΣΑΝΗ» , σχετική με την  έγκριση πίνακα </w:t>
      </w:r>
      <w:proofErr w:type="spellStart"/>
      <w:r w:rsidR="00204AC3" w:rsidRPr="00092877">
        <w:rPr>
          <w:rFonts w:ascii="Verdana" w:hAnsi="Verdana" w:cs="Cambria"/>
          <w:bCs/>
          <w:color w:val="000000"/>
          <w:sz w:val="18"/>
          <w:szCs w:val="18"/>
        </w:rPr>
        <w:t>στοχοθεσίας</w:t>
      </w:r>
      <w:proofErr w:type="spellEnd"/>
      <w:r w:rsidR="00204AC3" w:rsidRPr="00092877">
        <w:rPr>
          <w:rFonts w:ascii="Verdana" w:hAnsi="Verdana" w:cs="Cambria"/>
          <w:bCs/>
          <w:color w:val="000000"/>
          <w:sz w:val="18"/>
          <w:szCs w:val="18"/>
        </w:rPr>
        <w:t xml:space="preserve">   του ΝΠΔΔ - «ΚΕΝΤΡΟ ΕΡΕΥΝΑΣ- ΜΟΥΣΕΙΟ ΤΣΙΤΣΑΝΗ» έτους 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οικονομικού απολογισμού του Ν.Π.Δ.Δ. Σχολική Επιτροπή Δευτεροβάθμιας Εκπαίδευσης Δήμου Τρικκαίων Οικονομικού έτους 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870187">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οικονομικού απολογισμού του Ν.Π.Δ.Δ. Σχολική Επιτροπή Πρωτοβάθμιας Εκπαίδευσης Δήμου Τρικκαίων Οικονομικού έτους 2020</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984"/>
      </w:tblGrid>
      <w:tr w:rsidR="0000748B" w:rsidRPr="00092877" w:rsidTr="00C90351">
        <w:tc>
          <w:tcPr>
            <w:tcW w:w="5043" w:type="dxa"/>
          </w:tcPr>
          <w:p w:rsidR="00C90351" w:rsidRDefault="00542DC1" w:rsidP="00C13854">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Κ</w:t>
            </w:r>
            <w:r w:rsidR="002C7AC4">
              <w:rPr>
                <w:rFonts w:ascii="Verdana" w:eastAsiaTheme="minorEastAsia" w:hAnsi="Verdana" w:cs="Calibri"/>
                <w:sz w:val="18"/>
                <w:szCs w:val="18"/>
              </w:rPr>
              <w:t>ωτούλας</w:t>
            </w:r>
            <w:proofErr w:type="spellEnd"/>
            <w:r w:rsidR="002C7AC4">
              <w:rPr>
                <w:rFonts w:ascii="Verdana" w:eastAsiaTheme="minorEastAsia" w:hAnsi="Verdana" w:cs="Calibri"/>
                <w:sz w:val="18"/>
                <w:szCs w:val="18"/>
              </w:rPr>
              <w:t xml:space="preserve">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Π</w:t>
            </w:r>
            <w:r w:rsidR="002C7AC4">
              <w:rPr>
                <w:rFonts w:ascii="Verdana" w:eastAsiaTheme="minorEastAsia" w:hAnsi="Verdana" w:cs="Calibri"/>
                <w:sz w:val="18"/>
                <w:szCs w:val="18"/>
              </w:rPr>
              <w:t>αζαϊτης</w:t>
            </w:r>
            <w:proofErr w:type="spellEnd"/>
            <w:r w:rsidR="002C7AC4">
              <w:rPr>
                <w:rFonts w:ascii="Verdana" w:eastAsiaTheme="minorEastAsia" w:hAnsi="Verdana" w:cs="Calibri"/>
                <w:sz w:val="18"/>
                <w:szCs w:val="18"/>
              </w:rPr>
              <w:t xml:space="preserve"> Δημήτριος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Β</w:t>
            </w:r>
            <w:r w:rsidR="002C7AC4">
              <w:rPr>
                <w:rFonts w:ascii="Verdana" w:eastAsiaTheme="minorEastAsia" w:hAnsi="Verdana" w:cs="Calibri"/>
                <w:sz w:val="18"/>
                <w:szCs w:val="18"/>
              </w:rPr>
              <w:t>ότσιου</w:t>
            </w:r>
            <w:proofErr w:type="spellEnd"/>
            <w:r w:rsidR="002C7AC4">
              <w:rPr>
                <w:rFonts w:ascii="Verdana" w:eastAsiaTheme="minorEastAsia" w:hAnsi="Verdana" w:cs="Calibri"/>
                <w:sz w:val="18"/>
                <w:szCs w:val="18"/>
              </w:rPr>
              <w:t xml:space="preserve"> – Μακρή Παρασκευή</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w:t>
            </w:r>
            <w:proofErr w:type="spellEnd"/>
            <w:r w:rsidR="002C7AC4">
              <w:rPr>
                <w:rFonts w:ascii="Verdana" w:eastAsiaTheme="minorEastAsia" w:hAnsi="Verdana" w:cs="Calibri"/>
                <w:sz w:val="18"/>
                <w:szCs w:val="18"/>
              </w:rPr>
              <w:t xml:space="preserve">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Γενικός Γραμματέας  </w:t>
            </w:r>
            <w:proofErr w:type="spellStart"/>
            <w:r w:rsidRPr="00092877">
              <w:rPr>
                <w:rFonts w:ascii="Verdana" w:hAnsi="Verdana" w:cstheme="minorHAnsi"/>
                <w:sz w:val="18"/>
                <w:szCs w:val="18"/>
              </w:rPr>
              <w:t>Δ.Τρικκαίων</w:t>
            </w:r>
            <w:proofErr w:type="spellEnd"/>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Μητσιάδη</w:t>
                    </w:r>
                    <w:proofErr w:type="spellEnd"/>
                    <w:r>
                      <w:rPr>
                        <w:rFonts w:ascii="Verdana" w:eastAsia="Times New Roman" w:hAnsi="Verdana" w:cs="Times New Roman"/>
                        <w:sz w:val="18"/>
                        <w:szCs w:val="18"/>
                      </w:rPr>
                      <w:t xml:space="preserve"> Βασιλική-Ελένη</w:t>
                    </w:r>
                  </w:p>
                  <w:p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201125" w:rsidRPr="00092877"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Γκολοβράντζας</w:t>
                    </w:r>
                    <w:proofErr w:type="spellEnd"/>
                    <w:r>
                      <w:rPr>
                        <w:rFonts w:ascii="Verdana" w:eastAsia="Times New Roman" w:hAnsi="Verdana" w:cs="Times New Roman"/>
                        <w:sz w:val="18"/>
                        <w:szCs w:val="18"/>
                      </w:rPr>
                      <w:t xml:space="preserve"> Δημήτριος</w:t>
                    </w:r>
                  </w:p>
                </w:sdtContent>
              </w:sdt>
            </w:sdtContent>
          </w:sdt>
          <w:bookmarkEnd w:id="2"/>
          <w:bookmarkEnd w:id="1"/>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353DA8"/>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num>
  <w:num w:numId="8">
    <w:abstractNumId w:val="11"/>
  </w:num>
  <w:num w:numId="9">
    <w:abstractNumId w:val="4"/>
  </w:num>
  <w:num w:numId="10">
    <w:abstractNumId w:val="12"/>
  </w:num>
  <w:num w:numId="11">
    <w:abstractNumId w:val="25"/>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10"/>
  </w:num>
  <w:num w:numId="22">
    <w:abstractNumId w:val="19"/>
  </w:num>
  <w:num w:numId="23">
    <w:abstractNumId w:val="23"/>
  </w:num>
  <w:num w:numId="24">
    <w:abstractNumId w:val="30"/>
  </w:num>
  <w:num w:numId="25">
    <w:abstractNumId w:val="26"/>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D6C63"/>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C7AC4"/>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24F6"/>
    <w:rsid w:val="00866C51"/>
    <w:rsid w:val="00870187"/>
    <w:rsid w:val="008B211C"/>
    <w:rsid w:val="009167B8"/>
    <w:rsid w:val="009210AD"/>
    <w:rsid w:val="0092213E"/>
    <w:rsid w:val="00926471"/>
    <w:rsid w:val="0093023E"/>
    <w:rsid w:val="009338B3"/>
    <w:rsid w:val="00966B54"/>
    <w:rsid w:val="00971B14"/>
    <w:rsid w:val="009861B5"/>
    <w:rsid w:val="009A5437"/>
    <w:rsid w:val="009B23A5"/>
    <w:rsid w:val="009C0F13"/>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674A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7018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70187"/>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806896353">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D6F89"/>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EE7B-1581-4EA5-A855-07543CD8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4230</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dcterms:created xsi:type="dcterms:W3CDTF">2021-02-24T09:50:00Z</dcterms:created>
  <dcterms:modified xsi:type="dcterms:W3CDTF">2021-02-24T09:50:00Z</dcterms:modified>
</cp:coreProperties>
</file>