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28 Ιανουαρίου 2021</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2515</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B1220E" w:rsidRPr="00933453" w:rsidRDefault="00933453" w:rsidP="00933453">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lang w:val="en-US"/>
              </w:rPr>
            </w:pPr>
            <w:r>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25303" w:rsidRPr="00EC13BB">
        <w:rPr>
          <w:rFonts w:ascii="Verdana" w:hAnsi="Verdana" w:cs="Cambria"/>
          <w:color w:val="000000"/>
          <w:sz w:val="18"/>
          <w:szCs w:val="18"/>
        </w:rPr>
        <w:t xml:space="preserve">τακτική συνεδρίαση </w:t>
      </w:r>
      <w:r w:rsidR="00025303" w:rsidRPr="00EC13BB">
        <w:rPr>
          <w:rFonts w:ascii="Verdana" w:hAnsi="Verdana" w:cs="Calibri"/>
          <w:color w:val="000000"/>
          <w:sz w:val="18"/>
          <w:szCs w:val="18"/>
        </w:rPr>
        <w:t>της Οικονομικής Επιτροπής</w:t>
      </w:r>
      <w:r w:rsidR="00025303" w:rsidRPr="00EC13BB">
        <w:rPr>
          <w:rFonts w:ascii="Verdana" w:hAnsi="Verdana" w:cs="Cambria"/>
          <w:color w:val="000000"/>
          <w:sz w:val="18"/>
          <w:szCs w:val="18"/>
        </w:rPr>
        <w:t>,</w:t>
      </w:r>
      <w:r w:rsidR="00025303" w:rsidRPr="00EC13BB">
        <w:rPr>
          <w:rFonts w:ascii="Verdana" w:hAnsi="Verdana" w:cs="Calibri"/>
          <w:color w:val="000000"/>
          <w:sz w:val="18"/>
          <w:szCs w:val="18"/>
        </w:rPr>
        <w:t xml:space="preserve"> η οποία θα πραγματοποιηθεί </w:t>
      </w:r>
      <w:r w:rsidR="00025303" w:rsidRPr="00EC13BB">
        <w:rPr>
          <w:rFonts w:ascii="Verdana" w:hAnsi="Verdana" w:cs="Cambria"/>
          <w:color w:val="000000"/>
          <w:sz w:val="18"/>
          <w:szCs w:val="18"/>
        </w:rPr>
        <w:t xml:space="preserve"> </w:t>
      </w:r>
      <w:r w:rsidR="00025303" w:rsidRPr="00EC13BB">
        <w:rPr>
          <w:rFonts w:ascii="Verdana" w:hAnsi="Verdana" w:cs="Cambria"/>
          <w:sz w:val="18"/>
          <w:szCs w:val="18"/>
        </w:rPr>
        <w:t xml:space="preserve">με τηλεδιάσκεψη μέσω </w:t>
      </w:r>
      <w:r w:rsidR="00025303" w:rsidRPr="00EC13BB">
        <w:rPr>
          <w:rFonts w:ascii="Verdana" w:hAnsi="Verdana"/>
          <w:sz w:val="18"/>
          <w:szCs w:val="18"/>
        </w:rPr>
        <w:t>"</w:t>
      </w:r>
      <w:proofErr w:type="spellStart"/>
      <w:r w:rsidR="00025303" w:rsidRPr="00EC13BB">
        <w:rPr>
          <w:rFonts w:ascii="Verdana" w:hAnsi="Verdana"/>
          <w:sz w:val="18"/>
          <w:szCs w:val="18"/>
        </w:rPr>
        <w:t>Cisco</w:t>
      </w:r>
      <w:proofErr w:type="spellEnd"/>
      <w:r w:rsidR="00025303" w:rsidRPr="00EC13BB">
        <w:rPr>
          <w:rFonts w:ascii="Verdana" w:hAnsi="Verdana"/>
          <w:sz w:val="18"/>
          <w:szCs w:val="18"/>
        </w:rPr>
        <w:t xml:space="preserve"> </w:t>
      </w:r>
      <w:proofErr w:type="spellStart"/>
      <w:r w:rsidR="00025303" w:rsidRPr="00EC13BB">
        <w:rPr>
          <w:rFonts w:ascii="Verdana" w:hAnsi="Verdana"/>
          <w:sz w:val="18"/>
          <w:szCs w:val="18"/>
        </w:rPr>
        <w:t>Webex</w:t>
      </w:r>
      <w:proofErr w:type="spellEnd"/>
      <w:r w:rsidR="00025303" w:rsidRPr="00EC13BB">
        <w:rPr>
          <w:rFonts w:ascii="Verdana" w:hAnsi="Verdana"/>
          <w:sz w:val="18"/>
          <w:szCs w:val="18"/>
        </w:rPr>
        <w:t>",</w:t>
      </w:r>
      <w:r w:rsidR="00025303" w:rsidRPr="00EC13BB">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sidR="00025303" w:rsidRPr="00EC13BB">
        <w:rPr>
          <w:rFonts w:ascii="Verdana" w:hAnsi="Verdana" w:cs="Cambria"/>
          <w:sz w:val="18"/>
          <w:szCs w:val="18"/>
        </w:rPr>
        <w:t>Κορωναϊού</w:t>
      </w:r>
      <w:proofErr w:type="spellEnd"/>
      <w:r w:rsidR="00025303" w:rsidRPr="00EC13BB">
        <w:rPr>
          <w:rFonts w:ascii="Verdana" w:hAnsi="Verdana" w:cs="Cambria"/>
          <w:sz w:val="18"/>
          <w:szCs w:val="18"/>
        </w:rPr>
        <w:t xml:space="preserve"> </w:t>
      </w:r>
      <w:proofErr w:type="spellStart"/>
      <w:r w:rsidR="00025303" w:rsidRPr="00EC13BB">
        <w:rPr>
          <w:rFonts w:ascii="Verdana" w:hAnsi="Verdana" w:cs="Cambria"/>
          <w:sz w:val="18"/>
          <w:szCs w:val="18"/>
          <w:lang w:val="en-US"/>
        </w:rPr>
        <w:t>Covid</w:t>
      </w:r>
      <w:proofErr w:type="spellEnd"/>
      <w:r w:rsidR="00025303" w:rsidRPr="00EC13BB">
        <w:rPr>
          <w:rFonts w:ascii="Verdana" w:hAnsi="Verdana" w:cs="Cambria"/>
          <w:sz w:val="18"/>
          <w:szCs w:val="18"/>
        </w:rPr>
        <w:t xml:space="preserve"> 19) και </w:t>
      </w:r>
      <w:r w:rsidR="00025303" w:rsidRPr="00EC13BB">
        <w:rPr>
          <w:rFonts w:ascii="Verdana" w:hAnsi="Verdana"/>
          <w:sz w:val="18"/>
          <w:szCs w:val="18"/>
        </w:rPr>
        <w:t xml:space="preserve">τις υπ’ </w:t>
      </w:r>
      <w:proofErr w:type="spellStart"/>
      <w:r w:rsidR="00025303" w:rsidRPr="00EC13BB">
        <w:rPr>
          <w:rFonts w:ascii="Verdana" w:hAnsi="Verdana"/>
          <w:sz w:val="18"/>
          <w:szCs w:val="18"/>
        </w:rPr>
        <w:t>αριθμ</w:t>
      </w:r>
      <w:proofErr w:type="spellEnd"/>
      <w:r w:rsidR="00025303" w:rsidRPr="00EC13BB">
        <w:rPr>
          <w:rFonts w:ascii="Verdana" w:hAnsi="Verdana"/>
          <w:sz w:val="18"/>
          <w:szCs w:val="18"/>
        </w:rPr>
        <w:t xml:space="preserve">. 18318/13-03-2020, 20930/31-03-2020 και </w:t>
      </w:r>
      <w:r w:rsidR="00025303" w:rsidRPr="00EC13BB">
        <w:rPr>
          <w:rFonts w:ascii="Verdana" w:hAnsi="Verdana" w:cs="Calibri"/>
          <w:color w:val="000000"/>
          <w:sz w:val="18"/>
          <w:szCs w:val="18"/>
        </w:rPr>
        <w:t xml:space="preserve">426/13.11.2020 </w:t>
      </w:r>
      <w:r w:rsidR="00025303" w:rsidRPr="00EC13BB">
        <w:rPr>
          <w:rFonts w:ascii="Verdana" w:hAnsi="Verdana"/>
          <w:sz w:val="18"/>
          <w:szCs w:val="18"/>
        </w:rPr>
        <w:t>εγκυκλίους του Υπουργείου Εσωτερικών</w:t>
      </w:r>
      <w:r w:rsidR="00025303" w:rsidRPr="00EC13BB">
        <w:rPr>
          <w:rFonts w:ascii="Verdana" w:hAnsi="Verdana" w:cs="Cambria"/>
          <w:color w:val="000000"/>
          <w:sz w:val="18"/>
          <w:szCs w:val="18"/>
        </w:rPr>
        <w:t>,</w:t>
      </w:r>
      <w:r w:rsidR="00025303" w:rsidRPr="00D3044B">
        <w:rPr>
          <w:rFonts w:ascii="Verdana" w:hAnsi="Verdana" w:cs="Cambria"/>
          <w:color w:val="000000"/>
          <w:sz w:val="18"/>
          <w:szCs w:val="18"/>
        </w:rPr>
        <w:t xml:space="preserve"> και</w:t>
      </w:r>
      <w:r w:rsidRPr="00092877">
        <w:rPr>
          <w:rFonts w:ascii="Verdana" w:hAnsi="Verdana" w:cs="Cambria"/>
          <w:color w:val="000000"/>
          <w:sz w:val="18"/>
          <w:szCs w:val="18"/>
        </w:rPr>
        <w:t xml:space="preserve">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04η του μηνός Φεβρουαρίου έτους 2021,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για την έκδοση α) εντάλματος προπληρωμής ποσού 1.256,90 € για επαύξηση ισχύος παροχής επί της οδού Αλβανικού Μετώπου του Δήμου Τρικκαίων  β) εντάλματος προπληρωμής ποσού 10,00 € για πληρωμή τραπεζικών εξόδων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για τον καθορισμό των όρων της δημοπρασίας για την εκποίηση κινητών πραγμάτων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διενέργειας διαγωνισμών  προμηθειών  και γενικών υπηρεσιών, σύμφωνα με το άρθρο 221 του Ν. 4412/2016,  για το έτος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παρακολούθησης &amp; παραλαβής  προμηθειών και γενικών υπηρεσιών, σύμφωνα με το   άρθρο  221 του Ν. 4412/2016,  για το έτος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δαπάνης απολογιστικά παροχής υπηρεσιών για την αποφυγή της διάδοσης του </w:t>
      </w:r>
      <w:proofErr w:type="spellStart"/>
      <w:r w:rsidR="00204AC3" w:rsidRPr="00092877">
        <w:rPr>
          <w:rFonts w:ascii="Verdana" w:hAnsi="Verdana" w:cs="Cambria"/>
          <w:bCs/>
          <w:color w:val="000000"/>
          <w:sz w:val="18"/>
          <w:szCs w:val="18"/>
        </w:rPr>
        <w:t>κορονοϊού</w:t>
      </w:r>
      <w:proofErr w:type="spellEnd"/>
      <w:r w:rsidR="00204AC3" w:rsidRPr="00092877">
        <w:rPr>
          <w:rFonts w:ascii="Verdana" w:hAnsi="Verdana" w:cs="Cambria"/>
          <w:bCs/>
          <w:color w:val="000000"/>
          <w:sz w:val="18"/>
          <w:szCs w:val="18"/>
        </w:rPr>
        <w:t xml:space="preserve"> COVID-19 και ανάθεση διεξαγωγής εξετάσεων ανίχνευσης </w:t>
      </w:r>
      <w:proofErr w:type="spellStart"/>
      <w:r w:rsidR="00204AC3" w:rsidRPr="00092877">
        <w:rPr>
          <w:rFonts w:ascii="Verdana" w:hAnsi="Verdana" w:cs="Cambria"/>
          <w:bCs/>
          <w:color w:val="000000"/>
          <w:sz w:val="18"/>
          <w:szCs w:val="18"/>
        </w:rPr>
        <w:t>κορονοϊού</w:t>
      </w:r>
      <w:proofErr w:type="spellEnd"/>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Τροποποίηση της αρ. </w:t>
      </w:r>
      <w:proofErr w:type="spellStart"/>
      <w:r w:rsidR="00204AC3" w:rsidRPr="00092877">
        <w:rPr>
          <w:rFonts w:ascii="Verdana" w:hAnsi="Verdana" w:cs="Cambria"/>
          <w:bCs/>
          <w:color w:val="000000"/>
          <w:sz w:val="18"/>
          <w:szCs w:val="18"/>
        </w:rPr>
        <w:t>πρωτ</w:t>
      </w:r>
      <w:proofErr w:type="spellEnd"/>
      <w:r w:rsidR="00204AC3" w:rsidRPr="00092877">
        <w:rPr>
          <w:rFonts w:ascii="Verdana" w:hAnsi="Verdana" w:cs="Cambria"/>
          <w:bCs/>
          <w:color w:val="000000"/>
          <w:sz w:val="18"/>
          <w:szCs w:val="18"/>
        </w:rPr>
        <w:t>. 22364/15-7-2019 σύμβασης  προμήθειας φυσικού αερίου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Πρακτικών 1 και 2 του με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101783 ηλεκτρονικού διαγωνισμού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36767/04-11-2020 Διακήρυξης  για την: «Προμήθεια ηλεκτρικού ρεύματος και φυσικού αερίου του Δήμου Τρικκαίων και των Νομικών του Προσώπων»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παγίας προκαταβολής οικονομικού έτους 2021 για τις Κοινότητες των Δημοτικών Ενοτήτων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νέας Προγραμματικής Σύμβασης μεταξύ των Δήμων ΤΡΙΚΚΑΙΩΝ και ΛΕΙΨΩΝ καθώς και των όρων αυτής, με αντικείμενο την μεταβίβαση από το Δήμο Λειψών στο Δήμο Τρικκαίων και την άσκηση από το Δήμο Τρικκαίων για λογαριασμό του Δήμου Λειψών Καθηκόντων – Αρμοδιοτήτων Φορέα Υλοποίησης του 1ου Υποέργου (προμήθεια) της Πράξης με τίτλο: «ΠΡΟΜΗΘΕΙΑ ΗΛΕΚΤΡΙΚΩΝ ΟΧΗΜΑΤΩΝ ΤΟΥ ΔΗΜΟΥ ΛΕΙΨΩΝ», στο πλαίσιο της υποβολής από τον Δήμο Λειψών σχετικής πρότασης για χρηματοδότησή της στο Πρόγραμμα Ανάπτυξης και Αλληλεγγύης για την Τοπική Αυτοδιοίκηση “ΑΝΤΩΝΗΣ ΤΡΙΤΣΗΣ” του Υπουργείου Εσωτερικών (πρόσκληση ΑΤ 12)¨.</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Επιλογή τρόπου εκτέλεσης δημοσίων  συμβάσεων έργων προϋπολογισμού  ίσης ή κατώτερης από το ποσό των είκοσι χιλιάδων (20.000,00 €) ευρώ, οικονομικού έτους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επιτροπής διενέργειας ηλεκτρονικών κληρώσεων μέσω του ΚΗΣΚ για την ανάθεση δημοσίων συμβάσεων έργων, μελετών και παροχής συναφών υπηρεσιών, των οποίων η εκτιμώμενη αξία της σύμβασης είναι ίση ή κατώτερη των 20.000,00€ χωρίς ΦΠΑ, για το έτος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Πρόσκλησης της Δ/</w:t>
      </w:r>
      <w:proofErr w:type="spellStart"/>
      <w:r w:rsidR="00204AC3" w:rsidRPr="00092877">
        <w:rPr>
          <w:rFonts w:ascii="Verdana" w:hAnsi="Verdana" w:cs="Cambria"/>
          <w:bCs/>
          <w:color w:val="000000"/>
          <w:sz w:val="18"/>
          <w:szCs w:val="18"/>
        </w:rPr>
        <w:t>νσης</w:t>
      </w:r>
      <w:proofErr w:type="spellEnd"/>
      <w:r w:rsidR="00204AC3" w:rsidRPr="00092877">
        <w:rPr>
          <w:rFonts w:ascii="Verdana" w:hAnsi="Verdana" w:cs="Cambria"/>
          <w:bCs/>
          <w:color w:val="000000"/>
          <w:sz w:val="18"/>
          <w:szCs w:val="18"/>
        </w:rPr>
        <w:t xml:space="preserve"> Τεχνικών Υπηρεσιών για την κατάρτιση καταλόγων εργοληπτών και μελετητών του άρθρου 118 παρ. 5 του Ν. 4412/2016 για την επιλογή αναδόχων (με την διαδικασία της απ’ 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Τρικκαίων, έτους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17</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χορήγησης παράτασης προθεσμίας περαίωσης του έργου «Τσιμεντόστρωση δρόμων εντός του οικισμού της Κοινότητας </w:t>
      </w:r>
      <w:proofErr w:type="spellStart"/>
      <w:r w:rsidR="00204AC3" w:rsidRPr="00092877">
        <w:rPr>
          <w:rFonts w:ascii="Verdana" w:hAnsi="Verdana" w:cs="Cambria"/>
          <w:bCs/>
          <w:color w:val="000000"/>
          <w:sz w:val="18"/>
          <w:szCs w:val="18"/>
        </w:rPr>
        <w:t>Γενεσίου</w:t>
      </w:r>
      <w:proofErr w:type="spellEnd"/>
      <w:r w:rsidR="00204AC3" w:rsidRPr="00092877">
        <w:rPr>
          <w:rFonts w:ascii="Verdana" w:hAnsi="Verdana" w:cs="Cambria"/>
          <w:bCs/>
          <w:color w:val="000000"/>
          <w:sz w:val="18"/>
          <w:szCs w:val="18"/>
        </w:rPr>
        <w:t>»</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χορήγησης παράτασης προθεσμίας περαίωσης του έργου «Βελτίωση εσωτερικής </w:t>
      </w:r>
      <w:proofErr w:type="spellStart"/>
      <w:r w:rsidR="00204AC3" w:rsidRPr="00092877">
        <w:rPr>
          <w:rFonts w:ascii="Verdana" w:hAnsi="Verdana" w:cs="Cambria"/>
          <w:bCs/>
          <w:color w:val="000000"/>
          <w:sz w:val="18"/>
          <w:szCs w:val="18"/>
        </w:rPr>
        <w:t>οδοποιϊας</w:t>
      </w:r>
      <w:proofErr w:type="spellEnd"/>
      <w:r w:rsidR="00204AC3" w:rsidRPr="00092877">
        <w:rPr>
          <w:rFonts w:ascii="Verdana" w:hAnsi="Verdana" w:cs="Cambria"/>
          <w:bCs/>
          <w:color w:val="000000"/>
          <w:sz w:val="18"/>
          <w:szCs w:val="18"/>
        </w:rPr>
        <w:t xml:space="preserve"> Κοινότητας  </w:t>
      </w:r>
      <w:proofErr w:type="spellStart"/>
      <w:r w:rsidR="00204AC3" w:rsidRPr="00092877">
        <w:rPr>
          <w:rFonts w:ascii="Verdana" w:hAnsi="Verdana" w:cs="Cambria"/>
          <w:bCs/>
          <w:color w:val="000000"/>
          <w:sz w:val="18"/>
          <w:szCs w:val="18"/>
        </w:rPr>
        <w:t>Γοργογυρίου</w:t>
      </w:r>
      <w:proofErr w:type="spellEnd"/>
      <w:r w:rsidR="00204AC3" w:rsidRPr="00092877">
        <w:rPr>
          <w:rFonts w:ascii="Verdana" w:hAnsi="Verdana" w:cs="Cambria"/>
          <w:bCs/>
          <w:color w:val="000000"/>
          <w:sz w:val="18"/>
          <w:szCs w:val="18"/>
        </w:rPr>
        <w:t>»</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proofErr w:type="spellStart"/>
      <w:r w:rsidR="00204AC3" w:rsidRPr="00092877">
        <w:rPr>
          <w:rFonts w:ascii="Verdana" w:hAnsi="Verdana" w:cs="Cambria"/>
          <w:bCs/>
          <w:color w:val="000000"/>
          <w:sz w:val="18"/>
          <w:szCs w:val="18"/>
        </w:rPr>
        <w:t>Έκριση</w:t>
      </w:r>
      <w:proofErr w:type="spellEnd"/>
      <w:r w:rsidR="00204AC3" w:rsidRPr="00092877">
        <w:rPr>
          <w:rFonts w:ascii="Verdana" w:hAnsi="Verdana" w:cs="Cambria"/>
          <w:bCs/>
          <w:color w:val="000000"/>
          <w:sz w:val="18"/>
          <w:szCs w:val="18"/>
        </w:rPr>
        <w:t xml:space="preserve"> χορήγησης παράτασης προθεσμίας περαίωσης του έργου «ΑΝΑΠΛΑΣΗ ΠΛΑΤΕΙΑΣ ΚΑΙ ΑΝΑΒΑΘΜΙΣΗ ΥΠΟΔΟΜΩΝ ΚΟΙΝΟΤΗΤΑΣ ΛΟΓΓΟΥ»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του έργου «Συντήρηση στέγης κτιρίου παλαιού σχολείου Τ.Κ. Λόγγου»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02530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Παροχή ειδικής εντολής και Πληρεξουσιότητας για τη συζήτηση της από 16  Δεκεμβρίου 2019 αίτησης ακύρωσης του Βησσαρίωνα </w:t>
      </w:r>
      <w:proofErr w:type="spellStart"/>
      <w:r w:rsidR="00204AC3" w:rsidRPr="00092877">
        <w:rPr>
          <w:rFonts w:ascii="Verdana" w:hAnsi="Verdana" w:cs="Cambria"/>
          <w:bCs/>
          <w:color w:val="000000"/>
          <w:sz w:val="18"/>
          <w:szCs w:val="18"/>
        </w:rPr>
        <w:t>Τόγελου</w:t>
      </w:r>
      <w:proofErr w:type="spellEnd"/>
      <w:r w:rsidR="00204AC3" w:rsidRPr="00092877">
        <w:rPr>
          <w:rFonts w:ascii="Verdana" w:hAnsi="Verdana" w:cs="Cambria"/>
          <w:bCs/>
          <w:color w:val="000000"/>
          <w:sz w:val="18"/>
          <w:szCs w:val="18"/>
        </w:rPr>
        <w:t xml:space="preserve"> του Αποστόλου κατά του Δήμου Τρικκαίων και του Ελληνικού Δημοσίου</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D3044B" w:rsidP="00D3044B">
            <w:pPr>
              <w:widowControl w:val="0"/>
              <w:tabs>
                <w:tab w:val="left" w:pos="5886"/>
              </w:tabs>
              <w:autoSpaceDE w:val="0"/>
              <w:autoSpaceDN w:val="0"/>
              <w:adjustRightInd w:val="0"/>
              <w:spacing w:after="0" w:line="240" w:lineRule="auto"/>
              <w:jc w:val="center"/>
              <w:rPr>
                <w:rFonts w:ascii="Verdana" w:hAnsi="Verdana"/>
                <w:sz w:val="18"/>
                <w:szCs w:val="18"/>
              </w:rPr>
            </w:pPr>
            <w:r w:rsidRPr="00D3044B">
              <w:rPr>
                <w:rFonts w:ascii="Verdana" w:hAnsi="Verdana" w:cs="Calibri"/>
                <w:b/>
                <w:bCs/>
                <w:color w:val="000000"/>
                <w:sz w:val="18"/>
                <w:szCs w:val="18"/>
              </w:rPr>
              <w:t>Η Αντιπ</w:t>
            </w:r>
            <w:r w:rsidR="006B23F1" w:rsidRPr="00092877">
              <w:rPr>
                <w:rFonts w:ascii="Verdana" w:hAnsi="Verdana" w:cs="Calibri"/>
                <w:b/>
                <w:bCs/>
                <w:color w:val="000000"/>
                <w:sz w:val="18"/>
                <w:szCs w:val="18"/>
              </w:rPr>
              <w:t>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D3044B" w:rsidRDefault="00D3044B" w:rsidP="00167A8D">
            <w:pPr>
              <w:widowControl w:val="0"/>
              <w:tabs>
                <w:tab w:val="left" w:pos="7206"/>
              </w:tabs>
              <w:autoSpaceDE w:val="0"/>
              <w:autoSpaceDN w:val="0"/>
              <w:adjustRightInd w:val="0"/>
              <w:spacing w:after="0" w:line="240" w:lineRule="auto"/>
              <w:jc w:val="center"/>
              <w:rPr>
                <w:rFonts w:ascii="Verdana" w:hAnsi="Verdana"/>
                <w:sz w:val="18"/>
                <w:szCs w:val="18"/>
                <w:lang w:val="en-US"/>
              </w:rPr>
            </w:pPr>
            <w:proofErr w:type="spellStart"/>
            <w:r>
              <w:rPr>
                <w:rFonts w:ascii="Verdana" w:hAnsi="Verdana"/>
                <w:b/>
                <w:sz w:val="18"/>
                <w:szCs w:val="18"/>
                <w:lang w:val="en-US"/>
              </w:rPr>
              <w:t>Παρασκευή</w:t>
            </w:r>
            <w:proofErr w:type="spellEnd"/>
            <w:r>
              <w:rPr>
                <w:rFonts w:ascii="Verdana" w:hAnsi="Verdana"/>
                <w:b/>
                <w:sz w:val="18"/>
                <w:szCs w:val="18"/>
                <w:lang w:val="en-US"/>
              </w:rPr>
              <w:t xml:space="preserve"> </w:t>
            </w:r>
            <w:proofErr w:type="spellStart"/>
            <w:r>
              <w:rPr>
                <w:rFonts w:ascii="Verdana" w:hAnsi="Verdana"/>
                <w:b/>
                <w:sz w:val="18"/>
                <w:szCs w:val="18"/>
                <w:lang w:val="en-US"/>
              </w:rPr>
              <w:t>Βότσιου</w:t>
            </w:r>
            <w:proofErr w:type="spellEnd"/>
            <w:r>
              <w:rPr>
                <w:rFonts w:ascii="Verdana" w:hAnsi="Verdana"/>
                <w:b/>
                <w:sz w:val="18"/>
                <w:szCs w:val="18"/>
                <w:lang w:val="en-US"/>
              </w:rPr>
              <w:t xml:space="preserve"> </w:t>
            </w:r>
            <w:proofErr w:type="spellStart"/>
            <w:r>
              <w:rPr>
                <w:rFonts w:ascii="Verdana" w:hAnsi="Verdana"/>
                <w:b/>
                <w:sz w:val="18"/>
                <w:szCs w:val="18"/>
                <w:lang w:val="en-US"/>
              </w:rPr>
              <w:t>Μακρή</w:t>
            </w:r>
            <w:proofErr w:type="spellEnd"/>
          </w:p>
        </w:tc>
      </w:tr>
    </w:tbl>
    <w:p w:rsidR="00617C1D" w:rsidRDefault="00617C1D"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D3044B" w:rsidRPr="00D3044B" w:rsidRDefault="00D3044B" w:rsidP="00D3044B">
      <w:pPr>
        <w:widowControl w:val="0"/>
        <w:tabs>
          <w:tab w:val="left" w:pos="15"/>
        </w:tabs>
        <w:autoSpaceDE w:val="0"/>
        <w:autoSpaceDN w:val="0"/>
        <w:adjustRightInd w:val="0"/>
        <w:ind w:firstLine="720"/>
        <w:jc w:val="both"/>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D3044B"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D3044B">
        <w:rPr>
          <w:rFonts w:ascii="Verdana" w:hAnsi="Verdana" w:cs="Calibri"/>
          <w:b/>
          <w:bCs/>
          <w:sz w:val="16"/>
          <w:szCs w:val="16"/>
          <w:u w:val="single"/>
        </w:rPr>
        <w:t>Πίνακας Αποδεκτών</w:t>
      </w:r>
      <w:r w:rsidRPr="00D3044B">
        <w:rPr>
          <w:rFonts w:ascii="Verdana" w:hAnsi="Verdana"/>
          <w:sz w:val="16"/>
          <w:szCs w:val="16"/>
        </w:rPr>
        <w:tab/>
      </w:r>
      <w:r w:rsidRPr="00D3044B">
        <w:rPr>
          <w:rFonts w:ascii="Verdana" w:hAnsi="Verdana" w:cs="Calibri"/>
          <w:b/>
          <w:bCs/>
          <w:sz w:val="16"/>
          <w:szCs w:val="16"/>
        </w:rPr>
        <w:t>ΚΟΙΝΟΠΟΙΗΣΗ</w:t>
      </w:r>
    </w:p>
    <w:p w:rsidR="00FE17A4" w:rsidRPr="00D3044B"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D3044B">
        <w:rPr>
          <w:rFonts w:ascii="Verdana" w:hAnsi="Verdana"/>
          <w:sz w:val="16"/>
          <w:szCs w:val="16"/>
        </w:rPr>
        <w:tab/>
      </w:r>
      <w:r w:rsidRPr="00D3044B">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D3044B" w:rsidTr="00C90351">
        <w:tc>
          <w:tcPr>
            <w:tcW w:w="5043" w:type="dxa"/>
          </w:tcPr>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Ψύχος</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Κωνσταντίνος</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Βότσιου</w:t>
            </w:r>
            <w:proofErr w:type="spellEnd"/>
            <w:r w:rsidRPr="00D3044B">
              <w:rPr>
                <w:rStyle w:val="a4"/>
                <w:rFonts w:ascii="Verdana" w:hAnsi="Verdana"/>
                <w:color w:val="auto"/>
                <w:sz w:val="16"/>
                <w:szCs w:val="16"/>
                <w:lang w:val="en-US"/>
              </w:rPr>
              <w:t xml:space="preserve"> - </w:t>
            </w:r>
            <w:proofErr w:type="spellStart"/>
            <w:r w:rsidRPr="00D3044B">
              <w:rPr>
                <w:rStyle w:val="a4"/>
                <w:rFonts w:ascii="Verdana" w:hAnsi="Verdana"/>
                <w:color w:val="auto"/>
                <w:sz w:val="16"/>
                <w:szCs w:val="16"/>
                <w:lang w:val="en-US"/>
              </w:rPr>
              <w:t>Μακρή</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Παρασκευή</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Αναστασίου</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Βάιος</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Ντιντής</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Παναγιώτης</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Κωτούλας</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Ιωάννης</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Παζαΐτης</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Δημήτριος</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Αλεστά</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Σοφία</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Βασταρούχας</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Δημήτριος</w:t>
            </w:r>
            <w:proofErr w:type="spellEnd"/>
          </w:p>
          <w:p w:rsidR="00C90351" w:rsidRPr="00D3044B" w:rsidRDefault="00C13854" w:rsidP="00C13854">
            <w:pPr>
              <w:pStyle w:val="a5"/>
              <w:numPr>
                <w:ilvl w:val="0"/>
                <w:numId w:val="37"/>
              </w:numPr>
              <w:rPr>
                <w:rFonts w:ascii="Verdana" w:eastAsiaTheme="minorEastAsia" w:hAnsi="Verdana" w:cs="Calibri"/>
                <w:sz w:val="16"/>
                <w:szCs w:val="16"/>
              </w:rPr>
            </w:pPr>
            <w:proofErr w:type="spellStart"/>
            <w:r w:rsidRPr="00D3044B">
              <w:rPr>
                <w:rStyle w:val="a4"/>
                <w:rFonts w:ascii="Verdana" w:hAnsi="Verdana"/>
                <w:color w:val="auto"/>
                <w:sz w:val="16"/>
                <w:szCs w:val="16"/>
                <w:lang w:val="en-US"/>
              </w:rPr>
              <w:t>Καΐκης</w:t>
            </w:r>
            <w:proofErr w:type="spellEnd"/>
            <w:r w:rsidRPr="00D3044B">
              <w:rPr>
                <w:rStyle w:val="a4"/>
                <w:rFonts w:ascii="Verdana" w:hAnsi="Verdana"/>
                <w:color w:val="auto"/>
                <w:sz w:val="16"/>
                <w:szCs w:val="16"/>
                <w:lang w:val="en-US"/>
              </w:rPr>
              <w:t xml:space="preserve"> </w:t>
            </w:r>
            <w:proofErr w:type="spellStart"/>
            <w:r w:rsidRPr="00D3044B">
              <w:rPr>
                <w:rStyle w:val="a4"/>
                <w:rFonts w:ascii="Verdana" w:hAnsi="Verdana"/>
                <w:color w:val="auto"/>
                <w:sz w:val="16"/>
                <w:szCs w:val="16"/>
                <w:lang w:val="en-US"/>
              </w:rPr>
              <w:t>Γεώργιος</w:t>
            </w:r>
            <w:proofErr w:type="spellEnd"/>
          </w:p>
          <w:p w:rsidR="00C90351" w:rsidRPr="00D3044B"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D3044B"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D3044B">
              <w:rPr>
                <w:rFonts w:ascii="Verdana" w:hAnsi="Verdana" w:cstheme="minorHAnsi"/>
                <w:sz w:val="16"/>
                <w:szCs w:val="16"/>
              </w:rPr>
              <w:t>Δήμαρχος &amp; μέλη Εκτελεστικής Επιτροπής</w:t>
            </w:r>
          </w:p>
          <w:p w:rsidR="000B3673" w:rsidRPr="00D3044B"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D3044B">
              <w:rPr>
                <w:rFonts w:ascii="Verdana" w:hAnsi="Verdana" w:cstheme="minorHAnsi"/>
                <w:sz w:val="16"/>
                <w:szCs w:val="16"/>
              </w:rPr>
              <w:t xml:space="preserve">Γενικός Γραμματέας  </w:t>
            </w:r>
            <w:proofErr w:type="spellStart"/>
            <w:r w:rsidRPr="00D3044B">
              <w:rPr>
                <w:rFonts w:ascii="Verdana" w:hAnsi="Verdana" w:cstheme="minorHAnsi"/>
                <w:sz w:val="16"/>
                <w:szCs w:val="16"/>
              </w:rPr>
              <w:t>Δ.Τρικκαίων</w:t>
            </w:r>
            <w:proofErr w:type="spellEnd"/>
          </w:p>
          <w:p w:rsidR="000B3673" w:rsidRPr="00D3044B"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D3044B">
              <w:rPr>
                <w:rFonts w:ascii="Verdana" w:hAnsi="Verdana" w:cstheme="minorHAnsi"/>
                <w:sz w:val="16"/>
                <w:szCs w:val="16"/>
              </w:rPr>
              <w:t>Αναπληρωματικά μέλη Ο.Ε.</w:t>
            </w:r>
            <w:r w:rsidR="000B3673" w:rsidRPr="00D3044B">
              <w:rPr>
                <w:rFonts w:ascii="Verdana" w:hAnsi="Verdana" w:cstheme="minorHAnsi"/>
                <w:sz w:val="16"/>
                <w:szCs w:val="16"/>
              </w:rPr>
              <w:t xml:space="preserve"> </w:t>
            </w:r>
          </w:p>
          <w:bookmarkStart w:id="0" w:name="OLE_LINK3" w:displacedByCustomXml="next"/>
          <w:bookmarkStart w:id="1"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D3044B" w:rsidRDefault="005B00ED" w:rsidP="00FC19D3">
                    <w:pPr>
                      <w:spacing w:after="0" w:line="240" w:lineRule="auto"/>
                      <w:contextualSpacing/>
                      <w:rPr>
                        <w:rFonts w:ascii="Verdana" w:eastAsia="Times New Roman" w:hAnsi="Verdana" w:cs="Times New Roman"/>
                        <w:sz w:val="16"/>
                        <w:szCs w:val="16"/>
                      </w:rPr>
                    </w:pPr>
                  </w:p>
                  <w:p w:rsidR="005B00ED" w:rsidRPr="00D3044B"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D3044B">
                      <w:rPr>
                        <w:rFonts w:ascii="Verdana" w:eastAsia="Times New Roman" w:hAnsi="Verdana" w:cs="Times New Roman"/>
                        <w:sz w:val="16"/>
                        <w:szCs w:val="16"/>
                      </w:rPr>
                      <w:t>Λεβέντη-Καρά Ευθυμία</w:t>
                    </w:r>
                  </w:p>
                  <w:p w:rsidR="00252AF2" w:rsidRPr="00D3044B"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D3044B">
                      <w:rPr>
                        <w:rFonts w:ascii="Verdana" w:eastAsia="Times New Roman" w:hAnsi="Verdana" w:cs="Times New Roman"/>
                        <w:sz w:val="16"/>
                        <w:szCs w:val="16"/>
                      </w:rPr>
                      <w:t>Παππάς Απόστολος</w:t>
                    </w:r>
                  </w:p>
                  <w:p w:rsidR="00D42AC4" w:rsidRPr="00D3044B"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D3044B">
                      <w:rPr>
                        <w:rFonts w:ascii="Verdana" w:eastAsia="Times New Roman" w:hAnsi="Verdana" w:cs="Times New Roman"/>
                        <w:sz w:val="16"/>
                        <w:szCs w:val="16"/>
                      </w:rPr>
                      <w:t>Κρανιάς Βασίλειος</w:t>
                    </w:r>
                  </w:p>
                  <w:p w:rsidR="00D42AC4" w:rsidRPr="00D3044B"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D3044B">
                      <w:rPr>
                        <w:rFonts w:ascii="Verdana" w:eastAsia="Times New Roman" w:hAnsi="Verdana" w:cs="Times New Roman"/>
                        <w:sz w:val="16"/>
                        <w:szCs w:val="16"/>
                      </w:rPr>
                      <w:t>Μητσιάδη</w:t>
                    </w:r>
                    <w:proofErr w:type="spellEnd"/>
                    <w:r w:rsidRPr="00D3044B">
                      <w:rPr>
                        <w:rFonts w:ascii="Verdana" w:eastAsia="Times New Roman" w:hAnsi="Verdana" w:cs="Times New Roman"/>
                        <w:sz w:val="16"/>
                        <w:szCs w:val="16"/>
                      </w:rPr>
                      <w:t xml:space="preserve"> Βασιλική-Ελένη</w:t>
                    </w:r>
                  </w:p>
                  <w:p w:rsidR="00201125" w:rsidRPr="00D3044B"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D3044B">
                      <w:rPr>
                        <w:rFonts w:ascii="Verdana" w:eastAsia="Times New Roman" w:hAnsi="Verdana" w:cs="Times New Roman"/>
                        <w:sz w:val="16"/>
                        <w:szCs w:val="16"/>
                      </w:rPr>
                      <w:t>Γκολοβράντζας</w:t>
                    </w:r>
                    <w:proofErr w:type="spellEnd"/>
                    <w:r w:rsidRPr="00D3044B">
                      <w:rPr>
                        <w:rFonts w:ascii="Verdana" w:eastAsia="Times New Roman" w:hAnsi="Verdana" w:cs="Times New Roman"/>
                        <w:sz w:val="16"/>
                        <w:szCs w:val="16"/>
                      </w:rPr>
                      <w:t xml:space="preserve"> Δημήτριος</w:t>
                    </w:r>
                  </w:p>
                </w:sdtContent>
              </w:sdt>
            </w:sdtContent>
          </w:sdt>
          <w:bookmarkEnd w:id="1"/>
          <w:bookmarkEnd w:id="0"/>
          <w:p w:rsidR="00C90351" w:rsidRPr="00D3044B"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7B49"/>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A84F5"/>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1"/>
  </w:num>
  <w:num w:numId="16">
    <w:abstractNumId w:val="2"/>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1"/>
  </w:num>
  <w:num w:numId="35">
    <w:abstractNumId w:val="9"/>
  </w:num>
  <w:num w:numId="36">
    <w:abstractNumId w:val="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25303"/>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B6CB7"/>
    <w:rsid w:val="008244A0"/>
    <w:rsid w:val="00866C51"/>
    <w:rsid w:val="00897C17"/>
    <w:rsid w:val="008B211C"/>
    <w:rsid w:val="009167B8"/>
    <w:rsid w:val="009210AD"/>
    <w:rsid w:val="0092213E"/>
    <w:rsid w:val="00926471"/>
    <w:rsid w:val="0093023E"/>
    <w:rsid w:val="00933453"/>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3044B"/>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2530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5303"/>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41158"/>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97E6-A991-4C57-BD8A-6AC74251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4350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2021-02-02T10:32:00Z</dcterms:created>
  <dcterms:modified xsi:type="dcterms:W3CDTF">2021-02-02T10:32:00Z</dcterms:modified>
</cp:coreProperties>
</file>