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 Απριλίου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9716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</w:t>
      </w:r>
      <w:r w:rsidR="00B85B5B" w:rsidRPr="00AC143A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B85B5B">
        <w:rPr>
          <w:rFonts w:ascii="Verdana" w:hAnsi="Verdana" w:cs="Cambria"/>
          <w:color w:val="000000"/>
          <w:sz w:val="18"/>
          <w:szCs w:val="18"/>
        </w:rPr>
        <w:t xml:space="preserve">συνήλθε </w:t>
      </w:r>
      <w:r w:rsidR="00B85B5B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B85B5B">
        <w:rPr>
          <w:rFonts w:ascii="Verdana" w:hAnsi="Verdana"/>
          <w:sz w:val="18"/>
          <w:szCs w:val="18"/>
        </w:rPr>
        <w:t>"Cisco Webex",</w:t>
      </w:r>
      <w:r w:rsidR="00B85B5B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r w:rsidR="00B85B5B">
        <w:rPr>
          <w:rFonts w:ascii="Verdana" w:hAnsi="Verdana" w:cs="Cambria"/>
          <w:sz w:val="18"/>
          <w:szCs w:val="18"/>
          <w:lang w:val="en-US"/>
        </w:rPr>
        <w:t>Covid</w:t>
      </w:r>
      <w:r w:rsidR="00B85B5B">
        <w:rPr>
          <w:rFonts w:ascii="Verdana" w:hAnsi="Verdana" w:cs="Cambria"/>
          <w:sz w:val="18"/>
          <w:szCs w:val="18"/>
        </w:rPr>
        <w:t xml:space="preserve"> 19) και </w:t>
      </w:r>
      <w:r w:rsidR="00B85B5B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B85B5B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B85B5B">
        <w:rPr>
          <w:rFonts w:ascii="Verdana" w:hAnsi="Verdana"/>
          <w:sz w:val="18"/>
          <w:szCs w:val="18"/>
        </w:rPr>
        <w:t>εγκυκλίους του Υπουργείου Εσωτερικών</w:t>
      </w:r>
      <w:r w:rsidR="00B85B5B" w:rsidRPr="00B85B5B">
        <w:rPr>
          <w:rFonts w:ascii="Verdana" w:hAnsi="Verdana"/>
          <w:sz w:val="18"/>
          <w:szCs w:val="18"/>
        </w:rPr>
        <w:t>,</w:t>
      </w:r>
      <w:r w:rsidR="00B85B5B"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09η του μηνός Απριλίου έτους 2021,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και  απαλλαγή του υπολόγου υπαλλήλου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χρηματικού εντάλματος προπληρωμής </w:t>
      </w:r>
      <w:r w:rsidR="00B33571" w:rsidRPr="00092877">
        <w:rPr>
          <w:rFonts w:ascii="Verdana" w:hAnsi="Verdana" w:cs="Cambria"/>
          <w:bCs/>
          <w:color w:val="000000"/>
          <w:sz w:val="18"/>
          <w:szCs w:val="18"/>
        </w:rPr>
        <w:t>από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έκτακτη καταβολή δαπανών διοδίων και δαπανών καυσίμων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από την έκτακτη καταβολή δαπανών διοδίων και δαπανών καυσίμων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λόγω μείωσης ποσού ή ολικής απαλλαγής από την υποχρέωση καταβολής οικονομικής εισφοράς για το σχολικό έτος 2020-2021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του 40%  των μισθωμάτων επιχειρήσεων καθώς και απαλλαγή από την υποχρέωση καταβολής  του συνολικού μισθώματος  επιχειρήσεων για τις οποίες 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4  της  Επιτροπής διενέργειας  διαγωνισμού για την «ΠΡΟΜΗΘΕΙΑ ΕΚΘΕΣΙΑΚΟΥ ΕΞΟΠΛΙΣΜΟΥ ΓΙΑ ΤΑ ΠΟΛΙΤΙΣΤΙΚΑ ΔΡΩΜΕΝΑ ΤΟΥ ΔΗΜΟΥ ΤΡΙΚΚΑΙΩΝ» περί παράτασης της αρ. 31669/05-10-2020 σύμβασης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6 του με αριθμ. 101783 ηλεκτρονικού διαγωνισμού της αριθμ. 36767/04-11-2020 Διακήρυξης –κατακύρωση αποτελέσματος για την: «Προμήθεια ηλεκτρικού ρεύματος και φυσικού αερίου του Δήμου Τρικκαίων και των Νομικών του Προσώπων», Ομάδα Α: Ηλεκτρικό Ρεύμα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μελέτης –  καθορισμός όρων διακήρυξης ανοικτής ηλεκτρονικής διαδικασίας κάτω των ορίων για την παροχή υπηρεσιών «Συντήρηση σηματοδοτών κόμβων Δήμου Τρικκαίων»,  συνολικού προϋπ/σμού  93.248,00 Ευρώ συμπ/νου του ΦΠΑ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επιτροπών διενέργειας –</w:t>
      </w:r>
      <w:r w:rsidR="002D2632" w:rsidRPr="002D2632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αξιολόγησης, και παραλαβής για την ανοικτή ηλεκτρονική διαγωνιστική διαδικασία κάτω των ορίων με τίτλο: «Προμήθεια ενός (1) δορυφορικού απορριμματοφόρου οχήματος» στο πλαίσιο  της από 07/12/2020 Προγραμματικής Σύμβασης μεταξύ Δήμου Τρικκαίων και Δήμου Λειψών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 της  αριθμ. 59736/28-12-2017 πράξης  βεβαίωσης παράβασης ΚΟΚ της Δημοτικής Αστυνομίας και διαγραφή του κατόχου-οφειλέτη από χρηματικό κατάλογο</w:t>
      </w: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12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ακύρωσης-διαγραφής της  αριθμ. 68496/16-3-2021 πράξης  βεβαίωσης παράβασης ΚΟΚ της Δημοτικής Αστυνομίας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όρων διακήρυξης δημοπρασίας δημοτικής έκτασης που βρίσκεται στην κτηματική περιφέρεια Ριζώματος της Τοπικής Κοινότητας Ριζώματος, με σκοπό την κτηνοτροφική χρήση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κάλυψη δαπάνης που αφορά την χορήγηση χρηματικού βοηθήματος σε πληγέντα από πυρκαγιά  πολίτη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Σύναψη και ανάθεση δημόσιας σύμβασης για την εκτέλεση υπηρεσιών ηλεκτροφωτισμού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υπ’ αριθμ. 144 / 2020 απόφασης της Οικονομικής Επιτροπής του Δήμου Τρικκαίων, ως προς αποφασιστικό σκέλος αυτής.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διαπραγμάτευσης και ανάθεση της "Βελτίωσης - Συντήρησης - τεχνικής υποστήριξης του Ολοκληρωμένου Πληροφορικού Συστήματος των διοικητικών - οικονομικών υπηρεσιών του Δήμου Τρικκαίων, για το έτος 2021" με τη διαδικασία της διαπραγμάτευσης χωρίς δημοσίευση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τεσσάρων (4) φάρων για τις μοτοσικλέτες της Διεύθυνσης Δημοτικής Αστυνομίας  του  Δήμου Τρικκαίων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μελέτης – καθορισμός όρων διακήρυξης συνοπτικού διαγωνισμού για την «Εκπόνηση Σχεδίου Φόρτισης Ηλεκτρικών Οχημάτων (Σ.Φ.Η.Ο.) του Δήμου Τρικκαίων» από το χρηματοδοτικό πρόγραμμα του  Πράσινου  Ταμείου», συνολικού προϋπ/σμού 59.520,00 Ευρώ συμπεριλαμβανομένων των φόρων και κρατήσεων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20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της σύμβασης: «ΣΥΝΤΗΡΗΣΗ ΚΤΙΡΙΟΥ ΛΑΟΓΡΑΦΙΚΟΥ ΜΟΥΣΕΙΟΥ ΤΡΙΚΑΛΩΝ»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21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2ης παράτασης προθεσμίας περαίωσης  του έργου «Συντήρηση στέγης κτιρίου παλαιού σχολείου Τ.Κ. Λόγγου»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22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«ΣΥΝΤΗΡΗΣΗ ΚΙ ΕΠΙΣΚΕΥΗ ΑΝΟΙΚΤΟΥ ΧΩΡΟΥ ΑΘΛΗΣΗΣ, ΣΧΟΛΙΚΟΥ ΚΤΙΡΙΟΥ ΚΙ ΑΥΛΕΙΟΥ ΧΩΡΟΥ ΤΟΥ ΔΗΜΟΥ ΤΡΙΚΚΑΙΩΝ» Υποέργο 3: «Συντήρηση &amp; Ανάπλαση Αύλειου Χώρου 2ου Γυμνασίου &amp; Λυκείου Τρικάλων»  του ΣΑΥ &amp; ΦΑΥ που τη συνοδεύουν.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23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Μεγάλων Καλυβίων – αγροτικός δρόμος τεμ. 1834 &amp; 1835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24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παράστασης και κατάθεσης προτάσεων στο Μονομελές Πρωτοδικείο Τρικάλων σχετικά με την αριθμ. καταθ. ΤΜ 31/21 αγωγή κατά του Δήμου Τρικκαίων κ.λ.π.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B33571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25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παράστασης και κατάθεσης προτάσεων στο Μονομελές Πρωτοδικείο Τρικάλων σχετικά με την με αριθμ. καταθ. ΤΜ 28/21 αγωγή κατά του Δήμου Τρικκαίων κ.λ.π.</w:t>
      </w:r>
    </w:p>
    <w:p w:rsidR="00B33571" w:rsidRPr="00092877" w:rsidRDefault="00B33571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B33571">
      <w:pPr>
        <w:pStyle w:val="a5"/>
        <w:numPr>
          <w:ilvl w:val="0"/>
          <w:numId w:val="36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26</w:t>
      </w:r>
      <w:r w:rsidR="00B67C55" w:rsidRPr="00B85B5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Μεγάλων Καλυβίων – αγροτικός δρόμος τεμ. 1785 &amp; 1787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B33571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33571">
        <w:rPr>
          <w:rFonts w:ascii="Verdana" w:hAnsi="Verdana"/>
          <w:sz w:val="14"/>
          <w:szCs w:val="14"/>
        </w:rPr>
        <w:tab/>
      </w:r>
    </w:p>
    <w:p w:rsidR="00FE17A4" w:rsidRPr="00B33571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33571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B33571">
        <w:rPr>
          <w:rFonts w:ascii="Verdana" w:hAnsi="Verdana"/>
          <w:sz w:val="14"/>
          <w:szCs w:val="14"/>
        </w:rPr>
        <w:tab/>
      </w:r>
      <w:r w:rsidRPr="00B33571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B33571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33571">
        <w:rPr>
          <w:rFonts w:ascii="Verdana" w:hAnsi="Verdana"/>
          <w:sz w:val="14"/>
          <w:szCs w:val="14"/>
        </w:rPr>
        <w:tab/>
      </w:r>
      <w:r w:rsidRPr="00B33571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B33571" w:rsidTr="00C90351">
        <w:tc>
          <w:tcPr>
            <w:tcW w:w="5043" w:type="dxa"/>
          </w:tcPr>
          <w:p w:rsidR="00C9035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bookmarkStart w:id="0" w:name="OLE_LINK5"/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Λεβέντη – Καρά Ευθυμία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Οικονόμου Ιωάννης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Κ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ωτούλας Ιωάννης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Π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αζαϊτης Δημήτριος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Α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λέστα Σοφία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Π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αππάς Απόστολος</w:t>
            </w:r>
          </w:p>
          <w:p w:rsidR="00542DC1" w:rsidRPr="00B3357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Β</w:t>
            </w:r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ότσιου – Μακρή Παρασκευή</w:t>
            </w:r>
          </w:p>
          <w:p w:rsidR="00C90351" w:rsidRPr="00B33571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33571">
              <w:rPr>
                <w:rFonts w:ascii="Verdana" w:eastAsiaTheme="minorEastAsia" w:hAnsi="Verdana" w:cs="Calibri"/>
                <w:sz w:val="14"/>
                <w:szCs w:val="14"/>
              </w:rPr>
              <w:t xml:space="preserve"> Κ</w:t>
            </w:r>
            <w:bookmarkEnd w:id="0"/>
            <w:r w:rsidR="002C7AC4" w:rsidRPr="00B33571">
              <w:rPr>
                <w:rFonts w:ascii="Verdana" w:eastAsiaTheme="minorEastAsia" w:hAnsi="Verdana" w:cs="Calibri"/>
                <w:sz w:val="14"/>
                <w:szCs w:val="14"/>
              </w:rPr>
              <w:t>αϊκης Γεώργιος</w:t>
            </w:r>
          </w:p>
        </w:tc>
        <w:tc>
          <w:tcPr>
            <w:tcW w:w="5043" w:type="dxa"/>
          </w:tcPr>
          <w:p w:rsidR="000B3673" w:rsidRPr="00B3357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33571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B3357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33571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B33571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33571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B33571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B33571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D42AC4" w:rsidRPr="00B33571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3357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5B07D0" w:rsidRPr="00B33571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3357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201125" w:rsidRPr="00B3357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3357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B3357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85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42EB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2632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D4C5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309E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C05B1"/>
    <w:rsid w:val="00AD782F"/>
    <w:rsid w:val="00AE3BFE"/>
    <w:rsid w:val="00B1220E"/>
    <w:rsid w:val="00B21159"/>
    <w:rsid w:val="00B23838"/>
    <w:rsid w:val="00B33571"/>
    <w:rsid w:val="00B67C55"/>
    <w:rsid w:val="00B85B5B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8BE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8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85B5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1152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76F1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6DE7-EAAF-425B-B2FE-C619672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5077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2021-04-07T09:20:00Z</dcterms:created>
  <dcterms:modified xsi:type="dcterms:W3CDTF">2021-04-07T09:20:00Z</dcterms:modified>
</cp:coreProperties>
</file>