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092877" w14:paraId="26410A5D" w14:textId="77777777" w:rsidTr="007420E2">
        <w:trPr>
          <w:trHeight w:val="2845"/>
        </w:trPr>
        <w:tc>
          <w:tcPr>
            <w:tcW w:w="4820" w:type="dxa"/>
          </w:tcPr>
          <w:p w14:paraId="05810EE4" w14:textId="77777777"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14:anchorId="1F65EBD9" wp14:editId="2415A10D">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4324F02F" w14:textId="77777777"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14:paraId="7B1F0D1E"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14:paraId="71473420"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14:paraId="53A7B61F"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14:paraId="64029EE6" w14:textId="77777777"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14:paraId="5396BD03"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DE05AA"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8C21F9" w14:textId="77777777"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12 Οκτωβρίου 2023</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45087</w:t>
            </w:r>
          </w:p>
          <w:p w14:paraId="130037C9"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0A68C3D5"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702D837D" w14:textId="3B51C997"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ΠΡΟΣ : Τα μέλη της Οικονομικής</w:t>
            </w:r>
          </w:p>
          <w:p w14:paraId="1D1A4CB2"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14:paraId="14FD0CED"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14:paraId="4AE5A5C8"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14:paraId="6715C0A5"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14:paraId="488C75B9" w14:textId="2178DC5E" w:rsidR="00B1220E" w:rsidRPr="0002288A" w:rsidRDefault="00B1220E" w:rsidP="0002288A">
            <w:pPr>
              <w:rPr>
                <w:rFonts w:ascii="Verdana" w:hAnsi="Verdana" w:cs="Cambria"/>
                <w:bCs/>
                <w:color w:val="000000"/>
                <w:sz w:val="18"/>
                <w:szCs w:val="18"/>
              </w:rPr>
            </w:pPr>
          </w:p>
          <w:p w14:paraId="4F8D16BE" w14:textId="77777777"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14:paraId="72AE5D5F" w14:textId="77777777"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14:paraId="28374736" w14:textId="77777777"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14:paraId="6BB3A9A6" w14:textId="77777777"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44</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14:paraId="668026A2" w14:textId="77777777" w:rsidR="00AA4449" w:rsidRPr="00092877" w:rsidRDefault="00AA4449" w:rsidP="00AA4449">
      <w:pPr>
        <w:widowControl w:val="0"/>
        <w:autoSpaceDE w:val="0"/>
        <w:autoSpaceDN w:val="0"/>
        <w:adjustRightInd w:val="0"/>
        <w:spacing w:after="0" w:line="203" w:lineRule="exact"/>
        <w:rPr>
          <w:rFonts w:ascii="Verdana" w:hAnsi="Verdana"/>
          <w:sz w:val="18"/>
          <w:szCs w:val="18"/>
        </w:rPr>
      </w:pPr>
    </w:p>
    <w:p w14:paraId="5D571341" w14:textId="63606E09" w:rsidR="000A3D69" w:rsidRPr="000A27B0"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που θα διεξαχθεί</w:t>
      </w:r>
      <w:r w:rsidR="00470938" w:rsidRPr="00470938">
        <w:rPr>
          <w:rFonts w:ascii="Verdana" w:hAnsi="Verdana" w:cs="Cambria"/>
          <w:color w:val="000000"/>
          <w:sz w:val="18"/>
          <w:szCs w:val="18"/>
        </w:rPr>
        <w:t xml:space="preserve"> </w:t>
      </w:r>
      <w:r w:rsidR="00470938">
        <w:rPr>
          <w:rFonts w:ascii="Verdana" w:hAnsi="Verdana" w:cs="Cambria"/>
          <w:color w:val="000000"/>
          <w:sz w:val="18"/>
          <w:szCs w:val="18"/>
        </w:rPr>
        <w:t>στην αίθουσα συνεδριάσεων</w:t>
      </w:r>
      <w:r w:rsidRPr="00092877">
        <w:rPr>
          <w:rFonts w:ascii="Verdana" w:hAnsi="Verdana" w:cs="Cambria"/>
          <w:color w:val="000000"/>
          <w:sz w:val="18"/>
          <w:szCs w:val="18"/>
        </w:rPr>
        <w:t xml:space="preserve"> το</w:t>
      </w:r>
      <w:r w:rsidR="00470938">
        <w:rPr>
          <w:rFonts w:ascii="Verdana" w:hAnsi="Verdana" w:cs="Cambria"/>
          <w:color w:val="000000"/>
          <w:sz w:val="18"/>
          <w:szCs w:val="18"/>
        </w:rPr>
        <w:t>υ</w:t>
      </w:r>
      <w:r w:rsidRPr="00092877">
        <w:rPr>
          <w:rFonts w:ascii="Verdana" w:hAnsi="Verdana" w:cs="Cambria"/>
          <w:color w:val="000000"/>
          <w:sz w:val="18"/>
          <w:szCs w:val="18"/>
        </w:rPr>
        <w:t xml:space="preserve"> </w:t>
      </w:r>
      <w:r w:rsidR="00070740" w:rsidRPr="00092877">
        <w:rPr>
          <w:rFonts w:ascii="Verdana" w:hAnsi="Verdana" w:cs="Cambria"/>
          <w:color w:val="000000"/>
          <w:sz w:val="18"/>
          <w:szCs w:val="18"/>
        </w:rPr>
        <w:t>Δημοτικού Καταστήματος</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17η του μηνός Οκτωβρίου έτους 2023, ημέρα Τρίτη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12:00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14:paraId="56072FEB" w14:textId="02756187" w:rsidR="00590536" w:rsidRPr="001E0C32" w:rsidRDefault="00590536" w:rsidP="00FE5FBC">
      <w:pPr>
        <w:pStyle w:val="a5"/>
        <w:numPr>
          <w:ilvl w:val="0"/>
          <w:numId w:val="36"/>
        </w:numPr>
        <w:spacing w:after="160" w:line="256" w:lineRule="auto"/>
        <w:rPr>
          <w:rFonts w:ascii="Verdana" w:hAnsi="Verdana"/>
          <w:bCs/>
          <w:sz w:val="18"/>
          <w:szCs w:val="18"/>
        </w:rPr>
      </w:pPr>
    </w:p>
    <w:p w14:paraId="42712F32" w14:textId="22859039"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02288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προμήθεια κυπέλλων, μεταλλίων και  αναμνηστικών διπλωμάτων στο πλαίσιο διοργάνωσης τελικού Αγώνα Πανελληνίου Πρωταθλήματος και Κυπέλλου, της Αθλητικής Μοτοσυκλετιστικής Ομοσπονδίας Ελλάδας (Α.ΜΟΤ.Ο.Ε.) στις 21 έως 22 Οκτωβρίου 2023, στα Τρίκαλα.</w:t>
      </w:r>
    </w:p>
    <w:p w14:paraId="6D5EEF41"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6E0D8ABF"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02288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αποζημίωσης δαπανών μετακίνησης του Αντιδημάρχου κ. Γεωργίου Καταβούτα και της κας Ζαχαρή Κωνσταντίνας, ειδικής συνεργάτιδας του Δημάρχου Τρικκαίων στην Θεσσαλονίκη, από 23 έως 24 Οκτωβρίου 2023.</w:t>
      </w:r>
    </w:p>
    <w:p w14:paraId="1890B527"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02826513"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02288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αποζημίωσης δαπανών μετακίνησης της κας Ζαχαρή Κωνσταντίνας ειδικής συνεργάτιδας του Δημάρχου Τρικκαίων στη Βαρκελώνη, από 06 έως 10 Νοεμβρίου 2023 και στην Βουδαπέστη από 21 έως 25 Νοεμβρίου 2023, προκειμένου να συμμετέχει σε δράσεις που σχετίζονται με την Αποστολή για τις «100 Κλιματικά Ουδέτερες και Έξυπνες Πόλεις μέχρι το 2030».</w:t>
      </w:r>
    </w:p>
    <w:p w14:paraId="5F6C3D74"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567E63C8"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02288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κίνησης ενός (1) υπηρεσιακού οχήματος εκτός διοικητικών ορίων Δήμου Τρικκαίων.</w:t>
      </w:r>
    </w:p>
    <w:p w14:paraId="49C6DBED"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6CEFFEFE"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02288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κίνησης δύο (2) υπηρεσιακών οχημάτων εκτός διοικητικών ορίων Δήμου Τρικκαίων.</w:t>
      </w:r>
    </w:p>
    <w:p w14:paraId="4E1645B1"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477C7509"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02288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δωρεάς τροφής σκύλων για τα αδέσποτα ζώα συντροφιάς Δήμου Τρικκαίων.</w:t>
      </w:r>
    </w:p>
    <w:p w14:paraId="0CA2BD07"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5A3A7874"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02288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δωρεάς προϊόντων ύπνου από την ΕΛΙΤ ΣΤΡΩΜ Α.Β.Ε.Ε  για τους πλημμυροπαθείς  του Δήμου Τρικκαίων.</w:t>
      </w:r>
    </w:p>
    <w:p w14:paraId="102BDBDA"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7D9DE846"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02288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δικαιολογητικών δαπανών της πάγιας προκαταβολής των Προέδρων των Κοινοτήτων.</w:t>
      </w:r>
    </w:p>
    <w:p w14:paraId="2DE4BA78"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3AD25CF2"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02288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3 του με αριθμ. συστ. 196443 ηλεκτρονικού διαγωνισμού της αριθμ. 30736/20-06-2023 Διακήρυξης  για την: «Προμήθεια ηλεκτρικού ρεύματος και φυσικού αερίου του Δήμου Τρικκαίων και των Νομικών του Προσώπων».</w:t>
      </w:r>
    </w:p>
    <w:p w14:paraId="3344711A"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63B3CD55"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02288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3 της Επιτροπής διενέργειας διαγωνισμού και κατακύρωση αποτελέσματος για την: «ΠΡΟΜΗΘΕΙΑ ΥΛΙΚΩΝ ΚΑΘΑΡΙΟΤΗΤΑΣ ΓΙΑ ΤΙΣ ΑΝΑΓΚΕΣ ΤΟΥ ΔΗΜΟΥ ΤΡΙΚΚΑΙΩΝ ΚΑΙ ΤΩΝ ΝΟΜΙΚΩΝ ΤΟΥ ΠΡΟΣΩΠΩΝ ΕΤΩΝ 2023 – 2024». Αριθμ.  Διακήρυξης:  31074/22.06.2023.</w:t>
      </w:r>
    </w:p>
    <w:p w14:paraId="03D91C63"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3B22A1A9" w14:textId="306ABF43"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02288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δαπάνης απολογιστικά (ΠΡΑΚΤΙΚΟ 1) για τις εργασίες /υπηρεσίες και προμήθειες αντιμετώπισης των εκτάκτων αναγκών πολιτικής προστασίας λόγω της κακοκαιρίας με την επωνυμία </w:t>
      </w:r>
      <w:r w:rsidR="0002288A" w:rsidRPr="0002288A">
        <w:rPr>
          <w:rFonts w:ascii="Verdana" w:hAnsi="Verdana" w:cs="Cambria"/>
          <w:bCs/>
          <w:color w:val="000000"/>
          <w:sz w:val="18"/>
          <w:szCs w:val="18"/>
        </w:rPr>
        <w:t xml:space="preserve">       </w:t>
      </w:r>
      <w:r w:rsidR="00204AC3" w:rsidRPr="00092877">
        <w:rPr>
          <w:rFonts w:ascii="Verdana" w:hAnsi="Verdana" w:cs="Cambria"/>
          <w:bCs/>
          <w:color w:val="000000"/>
          <w:sz w:val="18"/>
          <w:szCs w:val="18"/>
        </w:rPr>
        <w:t>¨DANIEL ¨</w:t>
      </w:r>
    </w:p>
    <w:p w14:paraId="3AA0A3DE"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3FBB3C76"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02288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Τροποποίηση της αριθμ. 54/2023 απόφασης της Οικονομικής Επιτροπής του Δήμου Τρικκαίων, περί συμβιβαστικής αποζημίωσης του Δήμου Τρικκαίων για Προσκύρωση Δημοτικής έκτασης στην ιδιοκτησία </w:t>
      </w:r>
      <w:r w:rsidR="00204AC3" w:rsidRPr="00092877">
        <w:rPr>
          <w:rFonts w:ascii="Verdana" w:hAnsi="Verdana" w:cs="Cambria"/>
          <w:bCs/>
          <w:color w:val="000000"/>
          <w:sz w:val="18"/>
          <w:szCs w:val="18"/>
        </w:rPr>
        <w:lastRenderedPageBreak/>
        <w:t>Παπαδημητρίου Ευαγγελίας Χας Αθανασίου, το γένος Αναστασίου &amp; Όλγας Κατσιάνη, στην περιοχή «Αγία Μονή ΙΙΙ.</w:t>
      </w:r>
    </w:p>
    <w:p w14:paraId="0D0B5948"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076CCD8A"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02288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Τροποποίηση της αριθμ. 264/2023 απόφασης της Οικονομικής Επιτροπής του Δήμου Τρικκαίων, περί συμβιβαστικής αποζημίωσης του Δήμου Τρικκαίων για Προσκύρωση Δημοτικής Έκτασης στην ιδιοκτησία Γκούμα Ειρήνης του Ιωάννη, Γκούμα Γεώργιου του Ιωάννη και Γκούμα Αθανασίας του Παναγιώτη, στην περιοχή "Αγ. Μονή Ι"</w:t>
      </w:r>
    </w:p>
    <w:p w14:paraId="7415EB51"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07F16782"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02288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Εξώδικος ή μη συμβιβασμός επί της αίτησης του κ. Θεοχάρη Βασίλειου περί καταβολής αποζημίωσης για υλικές ζημιές του οχήματός του από εργασίες κοπής χόρτων.</w:t>
      </w:r>
    </w:p>
    <w:p w14:paraId="531C9B0D"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0B751DBD"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02288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Εξώδικος ή μη συμβιβασμός επί της αίτησης του κ. Στραπάτσα Ιωάννη περί καταβολής αποζημίωσης για υλικές ζημιές του οχήματός του από εργασίες κοπής χόρτων</w:t>
      </w:r>
    </w:p>
    <w:p w14:paraId="78A20DA5" w14:textId="77777777" w:rsidR="00C9442D" w:rsidRPr="00092877" w:rsidRDefault="00C9442D" w:rsidP="00520940">
      <w:pPr>
        <w:pStyle w:val="a5"/>
        <w:ind w:left="0"/>
        <w:rPr>
          <w:rFonts w:ascii="Verdana" w:hAnsi="Verdana"/>
          <w:bCs/>
          <w:sz w:val="18"/>
          <w:szCs w:val="18"/>
        </w:rPr>
      </w:pPr>
    </w:p>
    <w:p w14:paraId="64B61015" w14:textId="77777777"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3959"/>
      </w:tblGrid>
      <w:tr w:rsidR="006B23F1" w:rsidRPr="00092877" w14:paraId="6EE68C5A" w14:textId="77777777" w:rsidTr="00CC1F10">
        <w:trPr>
          <w:trHeight w:val="2086"/>
        </w:trPr>
        <w:tc>
          <w:tcPr>
            <w:tcW w:w="5658" w:type="dxa"/>
            <w:tcBorders>
              <w:right w:val="nil"/>
            </w:tcBorders>
          </w:tcPr>
          <w:p w14:paraId="3793D025" w14:textId="77777777"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14:paraId="3CA4DF1A" w14:textId="4D53BF40" w:rsidR="006B23F1" w:rsidRPr="00092877" w:rsidRDefault="000A27B0" w:rsidP="009A5437">
            <w:pPr>
              <w:widowControl w:val="0"/>
              <w:tabs>
                <w:tab w:val="left" w:pos="5886"/>
              </w:tabs>
              <w:autoSpaceDE w:val="0"/>
              <w:autoSpaceDN w:val="0"/>
              <w:adjustRightInd w:val="0"/>
              <w:spacing w:after="0" w:line="240" w:lineRule="auto"/>
              <w:jc w:val="center"/>
              <w:rPr>
                <w:rFonts w:ascii="Verdana" w:hAnsi="Verdana"/>
                <w:sz w:val="18"/>
                <w:szCs w:val="18"/>
              </w:rPr>
            </w:pPr>
            <w:r>
              <w:rPr>
                <w:rFonts w:ascii="Verdana" w:hAnsi="Verdana" w:cs="Calibri"/>
                <w:b/>
                <w:bCs/>
                <w:color w:val="000000"/>
                <w:sz w:val="18"/>
                <w:szCs w:val="18"/>
              </w:rPr>
              <w:t>Η</w:t>
            </w:r>
            <w:r w:rsidR="006B23F1" w:rsidRPr="00092877">
              <w:rPr>
                <w:rFonts w:ascii="Verdana" w:hAnsi="Verdana" w:cs="Calibri"/>
                <w:b/>
                <w:bCs/>
                <w:color w:val="000000"/>
                <w:sz w:val="18"/>
                <w:szCs w:val="18"/>
              </w:rPr>
              <w:t xml:space="preserve"> Πρόεδρος της Οικονομικής Επιτροπής</w:t>
            </w:r>
          </w:p>
          <w:p w14:paraId="1C0FC31C" w14:textId="77777777"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14:paraId="23BCDAC5" w14:textId="77777777"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14:paraId="1F2189FD" w14:textId="7A18C895" w:rsidR="00D42AC4" w:rsidRPr="001D4836" w:rsidRDefault="00BB645A"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Σοφία Αλεστά</w:t>
            </w:r>
          </w:p>
          <w:p w14:paraId="64B78141" w14:textId="77777777"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14:paraId="1DA34E8F" w14:textId="77777777"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14:paraId="1D099327" w14:textId="77777777"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14:paraId="135EF26C" w14:textId="77777777"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14:paraId="3C86D600" w14:textId="77777777"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866"/>
      </w:tblGrid>
      <w:tr w:rsidR="0000748B" w:rsidRPr="00092877" w14:paraId="47BAC863" w14:textId="77777777" w:rsidTr="00C90351">
        <w:tc>
          <w:tcPr>
            <w:tcW w:w="5043" w:type="dxa"/>
          </w:tcPr>
          <w:p w14:paraId="7FF3C5E2" w14:textId="1456B58B" w:rsidR="000C5FB5" w:rsidRPr="000C5FB5" w:rsidRDefault="00542DC1" w:rsidP="000C5FB5">
            <w:pPr>
              <w:pStyle w:val="a5"/>
              <w:numPr>
                <w:ilvl w:val="0"/>
                <w:numId w:val="14"/>
              </w:numPr>
              <w:rPr>
                <w:rFonts w:ascii="Verdana" w:eastAsiaTheme="minorEastAsia" w:hAnsi="Verdana" w:cs="Calibri"/>
                <w:sz w:val="18"/>
                <w:szCs w:val="18"/>
              </w:rPr>
            </w:pPr>
            <w:bookmarkStart w:id="0" w:name="OLE_LINK5"/>
            <w:r>
              <w:rPr>
                <w:rFonts w:ascii="Verdana" w:eastAsiaTheme="minorEastAsia" w:hAnsi="Verdana" w:cs="Calibri"/>
                <w:sz w:val="18"/>
                <w:szCs w:val="18"/>
              </w:rPr>
              <w:t xml:space="preserve"> </w:t>
            </w:r>
            <w:r w:rsidR="00842BB1">
              <w:rPr>
                <w:rFonts w:ascii="Verdana" w:eastAsiaTheme="minorEastAsia" w:hAnsi="Verdana" w:cs="Calibri"/>
                <w:sz w:val="18"/>
                <w:szCs w:val="18"/>
              </w:rPr>
              <w:t>Βαβύλης Στέφανος</w:t>
            </w:r>
          </w:p>
          <w:p w14:paraId="1BCCA3C1" w14:textId="1561A646" w:rsidR="00C90351" w:rsidRDefault="000C5FB5"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C173A0">
              <w:rPr>
                <w:rFonts w:ascii="Verdana" w:eastAsiaTheme="minorEastAsia" w:hAnsi="Verdana" w:cs="Calibri"/>
                <w:sz w:val="18"/>
                <w:szCs w:val="18"/>
              </w:rPr>
              <w:t>Ντιντής Παναγιώτης</w:t>
            </w:r>
          </w:p>
          <w:p w14:paraId="36D0EE98" w14:textId="656E0E04"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E3A65">
              <w:rPr>
                <w:rFonts w:ascii="Verdana" w:eastAsiaTheme="minorEastAsia" w:hAnsi="Verdana" w:cs="Calibri"/>
                <w:sz w:val="18"/>
                <w:szCs w:val="18"/>
              </w:rPr>
              <w:t>Λάππας Μιχαήλ</w:t>
            </w:r>
          </w:p>
          <w:p w14:paraId="05310626" w14:textId="0D3083E6"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Λεβέντη-Καρά Ευθυμία</w:t>
            </w:r>
          </w:p>
          <w:p w14:paraId="413EC3A3" w14:textId="1C2AACB8"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Κωτούλας Ιωάννης</w:t>
            </w:r>
          </w:p>
          <w:p w14:paraId="473BC255" w14:textId="21541B71"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Λασπάς Αχιλλεύς</w:t>
            </w:r>
          </w:p>
          <w:p w14:paraId="2DCF565A" w14:textId="0583ECDC"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Ζιώγας Γεώργιος</w:t>
            </w:r>
          </w:p>
          <w:p w14:paraId="14B2F038" w14:textId="343C4CC6" w:rsidR="00C90351" w:rsidRPr="002C7AC4" w:rsidRDefault="00542DC1"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Κ</w:t>
            </w:r>
            <w:bookmarkEnd w:id="0"/>
            <w:r w:rsidR="002C7AC4">
              <w:rPr>
                <w:rFonts w:ascii="Verdana" w:eastAsiaTheme="minorEastAsia" w:hAnsi="Verdana" w:cs="Calibri"/>
                <w:sz w:val="18"/>
                <w:szCs w:val="18"/>
              </w:rPr>
              <w:t>αϊκης Γεώργιος</w:t>
            </w:r>
          </w:p>
        </w:tc>
        <w:tc>
          <w:tcPr>
            <w:tcW w:w="5043" w:type="dxa"/>
          </w:tcPr>
          <w:p w14:paraId="2FB6444D" w14:textId="77777777"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14:paraId="7E66FB09" w14:textId="77777777"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14:paraId="4FB989E5" w14:textId="77777777"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1" w:name="OLE_LINK4" w:displacedByCustomXml="next"/>
          <w:bookmarkStart w:id="2" w:name="OLE_LINK3" w:displacedByCustomXml="next"/>
          <w:sdt>
            <w:sdtPr>
              <w:rPr>
                <w:rFonts w:ascii="Verdana" w:eastAsia="Times New Roman" w:hAnsi="Verdana" w:cs="Times New Roman"/>
                <w:sz w:val="18"/>
                <w:szCs w:val="18"/>
              </w:rPr>
              <w:alias w:val="Τακτικά Μέλη"/>
              <w:tag w:val="lstDeputyMembers"/>
              <w:id w:val="475731883"/>
            </w:sdtPr>
            <w:sdtEnd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EndPr/>
                <w:sdtContent>
                  <w:p w14:paraId="1BEBF953" w14:textId="77777777" w:rsidR="005B00ED" w:rsidRPr="00092877" w:rsidRDefault="005B00ED" w:rsidP="00FC19D3">
                    <w:pPr>
                      <w:spacing w:after="0" w:line="240" w:lineRule="auto"/>
                      <w:contextualSpacing/>
                      <w:rPr>
                        <w:rFonts w:ascii="Verdana" w:eastAsia="Times New Roman" w:hAnsi="Verdana" w:cs="Times New Roman"/>
                        <w:sz w:val="18"/>
                        <w:szCs w:val="18"/>
                      </w:rPr>
                    </w:pPr>
                  </w:p>
                  <w:p w14:paraId="3A0774CF" w14:textId="55B2EAE8" w:rsidR="00D42AC4"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Αναστασίου Βάιος</w:t>
                    </w:r>
                  </w:p>
                  <w:p w14:paraId="2D0A6B9F" w14:textId="2039FA7E" w:rsidR="005B07D0"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14:paraId="4BEABCF8" w14:textId="50689D18"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Καταβούτας Γεώργιος-Κωνσταντίνος</w:t>
                    </w:r>
                  </w:p>
                  <w:p w14:paraId="7837B60F" w14:textId="26A5D11C"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Παζαΐτης Δημήτριος</w:t>
                    </w:r>
                  </w:p>
                  <w:p w14:paraId="4253EEE5" w14:textId="3AF674C3"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Λουλές Γεώργιος</w:t>
                    </w:r>
                  </w:p>
                  <w:p w14:paraId="1BEA36E8" w14:textId="6A419D1B" w:rsidR="00842BB1" w:rsidRPr="007627C7"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Τάσιος Βάιος</w:t>
                    </w:r>
                  </w:p>
                  <w:p w14:paraId="4B190C2E" w14:textId="7C7D0910" w:rsidR="00201125" w:rsidRPr="00092877" w:rsidRDefault="007412C0" w:rsidP="002A6847">
                    <w:pPr>
                      <w:spacing w:after="0" w:line="240" w:lineRule="auto"/>
                      <w:ind w:left="1223"/>
                      <w:contextualSpacing/>
                      <w:rPr>
                        <w:rFonts w:ascii="Verdana" w:eastAsia="Times New Roman" w:hAnsi="Verdana" w:cs="Times New Roman"/>
                        <w:sz w:val="18"/>
                        <w:szCs w:val="18"/>
                      </w:rPr>
                    </w:pPr>
                  </w:p>
                </w:sdtContent>
              </w:sdt>
            </w:sdtContent>
          </w:sdt>
          <w:bookmarkEnd w:id="2"/>
          <w:bookmarkEnd w:id="1"/>
          <w:p w14:paraId="1AF51888" w14:textId="77777777"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14:paraId="5D46FFD9" w14:textId="77777777" w:rsidTr="00C90351">
        <w:tc>
          <w:tcPr>
            <w:tcW w:w="5043" w:type="dxa"/>
          </w:tcPr>
          <w:p w14:paraId="63A65388" w14:textId="03492280"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14:paraId="7EDF72E0" w14:textId="77777777"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14:paraId="07D20712" w14:textId="77777777"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7AF79F6"/>
    <w:multiLevelType w:val="hybridMultilevel"/>
    <w:tmpl w:val="60D06CE4"/>
    <w:lvl w:ilvl="0" w:tplc="D27A1510">
      <w:start w:val="1"/>
      <mc:AlternateContent>
        <mc:Choice Requires="w14">
          <w:numFmt w:val="custom" w:format="α, β, γ, ..."/>
        </mc:Choice>
        <mc:Fallback>
          <w:numFmt w:val="decimal"/>
        </mc:Fallback>
      </mc:AlternateContent>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64BD9"/>
    <w:multiLevelType w:val="hybridMultilevel"/>
    <w:tmpl w:val="17BE2862"/>
    <w:lvl w:ilvl="0" w:tplc="D27A151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7B41A1"/>
    <w:multiLevelType w:val="hybridMultilevel"/>
    <w:tmpl w:val="6674074C"/>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D8106E9"/>
    <w:multiLevelType w:val="hybridMultilevel"/>
    <w:tmpl w:val="73AE605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15:restartNumberingAfterBreak="0">
    <w:nsid w:val="53714E6F"/>
    <w:multiLevelType w:val="hybridMultilevel"/>
    <w:tmpl w:val="82F2E706"/>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E30C37"/>
    <w:multiLevelType w:val="hybridMultilevel"/>
    <w:tmpl w:val="BC2432B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15:restartNumberingAfterBreak="0">
    <w:nsid w:val="5E787321"/>
    <w:multiLevelType w:val="hybridMultilevel"/>
    <w:tmpl w:val="46408368"/>
    <w:lvl w:ilvl="0" w:tplc="273A61C6">
      <w:start w:val="1"/>
      <mc:AlternateContent>
        <mc:Choice Requires="w14">
          <w:numFmt w:val="custom" w:format="α, β, γ, ..."/>
        </mc:Choice>
        <mc:Fallback>
          <w:numFmt w:val="decimal"/>
        </mc:Fallback>
      </mc:AlternateContent>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6B597FDC"/>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6"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15:restartNumberingAfterBreak="0">
    <w:nsid w:val="7E3F00AE"/>
    <w:multiLevelType w:val="hybridMultilevel"/>
    <w:tmpl w:val="87568EFA"/>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8406923">
    <w:abstractNumId w:val="22"/>
  </w:num>
  <w:num w:numId="2" w16cid:durableId="5297287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3434011">
    <w:abstractNumId w:val="18"/>
  </w:num>
  <w:num w:numId="4" w16cid:durableId="59131907">
    <w:abstractNumId w:val="9"/>
  </w:num>
  <w:num w:numId="5" w16cid:durableId="5609487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2672660">
    <w:abstractNumId w:val="31"/>
  </w:num>
  <w:num w:numId="7" w16cid:durableId="1416778872">
    <w:abstractNumId w:val="28"/>
  </w:num>
  <w:num w:numId="8" w16cid:durableId="837844384">
    <w:abstractNumId w:val="11"/>
  </w:num>
  <w:num w:numId="9" w16cid:durableId="1416243095">
    <w:abstractNumId w:val="4"/>
  </w:num>
  <w:num w:numId="10" w16cid:durableId="253169183">
    <w:abstractNumId w:val="12"/>
  </w:num>
  <w:num w:numId="11" w16cid:durableId="119492068">
    <w:abstractNumId w:val="26"/>
  </w:num>
  <w:num w:numId="12" w16cid:durableId="910583580">
    <w:abstractNumId w:val="13"/>
  </w:num>
  <w:num w:numId="13" w16cid:durableId="1008599151">
    <w:abstractNumId w:val="15"/>
  </w:num>
  <w:num w:numId="14" w16cid:durableId="2107770074">
    <w:abstractNumId w:val="2"/>
  </w:num>
  <w:num w:numId="15" w16cid:durableId="268508179">
    <w:abstractNumId w:val="0"/>
  </w:num>
  <w:num w:numId="16" w16cid:durableId="431826172">
    <w:abstractNumId w:val="1"/>
  </w:num>
  <w:num w:numId="17" w16cid:durableId="285621062">
    <w:abstractNumId w:val="20"/>
  </w:num>
  <w:num w:numId="18" w16cid:durableId="417822992">
    <w:abstractNumId w:val="16"/>
  </w:num>
  <w:num w:numId="19" w16cid:durableId="939724537">
    <w:abstractNumId w:val="17"/>
  </w:num>
  <w:num w:numId="20" w16cid:durableId="311375982">
    <w:abstractNumId w:val="24"/>
  </w:num>
  <w:num w:numId="21" w16cid:durableId="1399788051">
    <w:abstractNumId w:val="10"/>
  </w:num>
  <w:num w:numId="22" w16cid:durableId="1634016082">
    <w:abstractNumId w:val="19"/>
  </w:num>
  <w:num w:numId="23" w16cid:durableId="2121336017">
    <w:abstractNumId w:val="23"/>
  </w:num>
  <w:num w:numId="24" w16cid:durableId="771820548">
    <w:abstractNumId w:val="30"/>
  </w:num>
  <w:num w:numId="25" w16cid:durableId="1007905073">
    <w:abstractNumId w:val="27"/>
  </w:num>
  <w:num w:numId="26" w16cid:durableId="829711565">
    <w:abstractNumId w:val="5"/>
  </w:num>
  <w:num w:numId="27" w16cid:durableId="437678134">
    <w:abstractNumId w:val="6"/>
  </w:num>
  <w:num w:numId="28" w16cid:durableId="1216965209">
    <w:abstractNumId w:val="3"/>
  </w:num>
  <w:num w:numId="29" w16cid:durableId="1043486012">
    <w:abstractNumId w:val="14"/>
  </w:num>
  <w:num w:numId="30" w16cid:durableId="1873106264">
    <w:abstractNumId w:val="29"/>
  </w:num>
  <w:num w:numId="31" w16cid:durableId="19710109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171703">
    <w:abstractNumId w:val="8"/>
  </w:num>
  <w:num w:numId="33" w16cid:durableId="1137382466">
    <w:abstractNumId w:val="21"/>
  </w:num>
  <w:num w:numId="34" w16cid:durableId="978455336">
    <w:abstractNumId w:val="0"/>
  </w:num>
  <w:num w:numId="35" w16cid:durableId="636030602">
    <w:abstractNumId w:val="7"/>
  </w:num>
  <w:num w:numId="36" w16cid:durableId="26850817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49"/>
    <w:rsid w:val="00000F9C"/>
    <w:rsid w:val="0000748B"/>
    <w:rsid w:val="00015434"/>
    <w:rsid w:val="0002288A"/>
    <w:rsid w:val="000251AF"/>
    <w:rsid w:val="00070740"/>
    <w:rsid w:val="00071693"/>
    <w:rsid w:val="00072087"/>
    <w:rsid w:val="00072E90"/>
    <w:rsid w:val="00092877"/>
    <w:rsid w:val="000A27B0"/>
    <w:rsid w:val="000A3D69"/>
    <w:rsid w:val="000B3673"/>
    <w:rsid w:val="000B49C1"/>
    <w:rsid w:val="000C2292"/>
    <w:rsid w:val="000C5FB5"/>
    <w:rsid w:val="000E646C"/>
    <w:rsid w:val="000F1376"/>
    <w:rsid w:val="000F3FD9"/>
    <w:rsid w:val="000F699A"/>
    <w:rsid w:val="001056D0"/>
    <w:rsid w:val="00131F9D"/>
    <w:rsid w:val="00133ED4"/>
    <w:rsid w:val="0016455E"/>
    <w:rsid w:val="00164DDE"/>
    <w:rsid w:val="00167A8D"/>
    <w:rsid w:val="00195CE0"/>
    <w:rsid w:val="00195E48"/>
    <w:rsid w:val="001B2741"/>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61160"/>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0938"/>
    <w:rsid w:val="004715A7"/>
    <w:rsid w:val="004769E0"/>
    <w:rsid w:val="00481FFF"/>
    <w:rsid w:val="00487D9C"/>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12C0"/>
    <w:rsid w:val="007420E2"/>
    <w:rsid w:val="0076169E"/>
    <w:rsid w:val="007627C7"/>
    <w:rsid w:val="00787988"/>
    <w:rsid w:val="007A4284"/>
    <w:rsid w:val="007B5F41"/>
    <w:rsid w:val="007D7FAC"/>
    <w:rsid w:val="008244A0"/>
    <w:rsid w:val="00842BB1"/>
    <w:rsid w:val="00866C51"/>
    <w:rsid w:val="008B211C"/>
    <w:rsid w:val="008E3A65"/>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645A"/>
    <w:rsid w:val="00BB730E"/>
    <w:rsid w:val="00BD2219"/>
    <w:rsid w:val="00BD2C1E"/>
    <w:rsid w:val="00BF084F"/>
    <w:rsid w:val="00BF7093"/>
    <w:rsid w:val="00C11546"/>
    <w:rsid w:val="00C13854"/>
    <w:rsid w:val="00C173A0"/>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6690C"/>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8592C"/>
    <w:rsid w:val="00F96DED"/>
    <w:rsid w:val="00FB7327"/>
    <w:rsid w:val="00FC06F6"/>
    <w:rsid w:val="00FC19D3"/>
    <w:rsid w:val="00FD5BFC"/>
    <w:rsid w:val="00FE174F"/>
    <w:rsid w:val="00FE17A4"/>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2B1"/>
  <w15:chartTrackingRefBased/>
  <w15:docId w15:val="{5347577D-B0DE-411B-BE58-5B6AD0E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32FB0"/>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A077E"/>
    <w:rsid w:val="004B2DA6"/>
    <w:rsid w:val="004D549B"/>
    <w:rsid w:val="004D67E5"/>
    <w:rsid w:val="004F5CE8"/>
    <w:rsid w:val="004F7EA5"/>
    <w:rsid w:val="0050093D"/>
    <w:rsid w:val="00502FCA"/>
    <w:rsid w:val="0051746D"/>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4225"/>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20F06"/>
    <w:rsid w:val="00B33DEF"/>
    <w:rsid w:val="00B771C5"/>
    <w:rsid w:val="00B92E5D"/>
    <w:rsid w:val="00BE51EB"/>
    <w:rsid w:val="00C059F9"/>
    <w:rsid w:val="00C10B6D"/>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84B16"/>
    <w:rsid w:val="00F86A0B"/>
    <w:rsid w:val="00FC17C3"/>
    <w:rsid w:val="00FC5864"/>
    <w:rsid w:val="00FC6290"/>
    <w:rsid w:val="00FC6A4C"/>
    <w:rsid w:val="00FE22B1"/>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077E"/>
    <w:rPr>
      <w:color w:val="808080"/>
    </w:rPr>
  </w:style>
  <w:style w:type="paragraph" w:customStyle="1" w:styleId="0CEA08A08DB14140977C2D099FE642C85">
    <w:name w:val="0CEA08A08DB14140977C2D099FE642C85"/>
    <w:rsid w:val="001033F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A89E-34C8-4C70-B032-E0AEE4CA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3530</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Βάσω Χαλιμούρδα</cp:lastModifiedBy>
  <cp:revision>2</cp:revision>
  <cp:lastPrinted>2023-10-13T10:04:00Z</cp:lastPrinted>
  <dcterms:created xsi:type="dcterms:W3CDTF">2023-10-13T11:54:00Z</dcterms:created>
  <dcterms:modified xsi:type="dcterms:W3CDTF">2023-10-13T11:54:00Z</dcterms:modified>
</cp:coreProperties>
</file>