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0C54C0" w:rsidRDefault="000C54C0" w:rsidP="000C54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 xml:space="preserve">ΑΝΑΠΛΑΣΗ ΔΗΜΟΤΙΚΟΥ </w:t>
            </w: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SKATE</w:t>
            </w:r>
            <w:r w:rsidRPr="000C54C0">
              <w:rPr>
                <w:rFonts w:ascii="Tahoma" w:hAnsi="Tahoma" w:cs="Tahoma"/>
                <w:b/>
                <w:bCs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PARK</w:t>
            </w:r>
            <w:r w:rsidRPr="000C54C0">
              <w:rPr>
                <w:rFonts w:ascii="Tahoma" w:hAnsi="Tahoma" w:cs="Tahoma"/>
                <w:b/>
                <w:bCs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0"/>
              </w:rPr>
              <w:t>ΣΤΟ ΧΩΡΟ ΤΟΥ ΣΤΡΑΤΟΠΕΔΟΥ ΠΑΠΑΣΤΑΘΗ &amp; ΔΗΜΙΟΥΡΓΙΑ ΠΑΡΚΟΥ ΕΝΑΛΛΑΚΤΙΚΩΝ ΔΡΑΣΤΗΡΙΟΤΗΤΩΝ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0C54C0" w:rsidP="00B8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290.000 </w:t>
            </w:r>
            <w:r w:rsidR="00AC34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0C54C0" w:rsidRPr="000C54C0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 xml:space="preserve">H πράξη αφορά στη δημιουργία ενός οργανωμένου και ασφαλούς πάρκου εναλλακτικής άθλησης στην πόλη των Τρικάλων και συγκεκριμένα σε τμήμα του πρώην στρατοπέδου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Παπαστάθη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δίπλα στο δημοτικό στάδιο. </w:t>
            </w:r>
          </w:p>
          <w:p w:rsidR="000C54C0" w:rsidRPr="000C54C0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>Αναλυτικά προβλέπεται η δημιουργία:</w:t>
            </w:r>
          </w:p>
          <w:p w:rsidR="000C54C0" w:rsidRPr="000C54C0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 xml:space="preserve">- Πίστας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skate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park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bmx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, επιφάνειας 1.280 μ2, δηλαδή χώρου με χαρακτηριστικά και εξοπλισμό τέτοια ώστε να μπορεί να χρησιμοποιηθεί με ασφάλεια για δραστηριότητες με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τροχοσανίδα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και ποδήλατα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bmx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C54C0" w:rsidRPr="000C54C0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 xml:space="preserve">Τα στοιχεία του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skate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bmx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park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θα είναι από οπλισμένο σκυρόδεμα με τελική επεξεργασία βιομηχανικού δαπέδου και κάποιων πρόσθετων στοιχείων από ατσάλι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γαλβανιζέ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54C0" w:rsidRPr="000C54C0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 xml:space="preserve">- Πίστας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pumptrack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, επιφάνειας 984 μ2, δηλαδή διαδρομής κλειστού κύκλου με ευθείες, στροφές, τεχνητά κυματοειδή εμπόδια και μικρά άλματα, με σκοπό την ασφαλή άθληση και το παιχνίδι για χρήστες ποδηλάτων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bmx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, αθλητές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skateboard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roller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skates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54C0" w:rsidRPr="000C54C0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 xml:space="preserve">- Πίστας </w:t>
            </w:r>
            <w:proofErr w:type="spellStart"/>
            <w:r w:rsidRPr="000C54C0">
              <w:rPr>
                <w:rFonts w:ascii="Arial" w:hAnsi="Arial" w:cs="Arial"/>
                <w:sz w:val="20"/>
                <w:szCs w:val="20"/>
              </w:rPr>
              <w:t>parkour</w:t>
            </w:r>
            <w:proofErr w:type="spellEnd"/>
            <w:r w:rsidRPr="000C54C0">
              <w:rPr>
                <w:rFonts w:ascii="Arial" w:hAnsi="Arial" w:cs="Arial"/>
                <w:sz w:val="20"/>
                <w:szCs w:val="20"/>
              </w:rPr>
              <w:t>, επιφάνειας 339 μ2 η οποία θα περιλαμβάνει τσιμεντένια στοιχεία από οπλισμένο σκυρόδεμα, μεταλλικά στοιχεία από γαλβανισμένες δοκούς και ελαστικό δάπεδο ασφαλείας για να γίνεται η υπερπήδηση των εμποδίων από τους συγκεκριμένους αθλητές με  ασφάλεια.</w:t>
            </w:r>
          </w:p>
          <w:p w:rsidR="000C54C0" w:rsidRPr="000C54C0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>Επίσης προβλέπεται ο απαραίτητος φωτισμός στον χώρο παρέμβασης, ώστε να εστιάζει σωστά στο σχήμα-σχέδιο  των κατασκευών. Το σύστημα του φωτισμού θα είναι αυτόματο.</w:t>
            </w:r>
          </w:p>
          <w:p w:rsidR="00AC343A" w:rsidRPr="00A81ACA" w:rsidRDefault="000C54C0" w:rsidP="000C54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4C0">
              <w:rPr>
                <w:rFonts w:ascii="Arial" w:hAnsi="Arial" w:cs="Arial"/>
                <w:sz w:val="20"/>
                <w:szCs w:val="20"/>
              </w:rPr>
              <w:t>Το σύνολο των κατασκευών  αλλά και ο απαιτούμενος εξοπλισμός, θα πληρούν τις ισχύουσες ευρωπαϊκές  προδιαγραφές και πρότυπα.</w:t>
            </w: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ΚΩΔΙΚΟΣ ΟΠΣ:</w:t>
            </w:r>
          </w:p>
        </w:tc>
        <w:tc>
          <w:tcPr>
            <w:tcW w:w="4222" w:type="dxa"/>
          </w:tcPr>
          <w:p w:rsidR="00AC343A" w:rsidRPr="000C54C0" w:rsidRDefault="000C54C0" w:rsidP="00B84F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5056271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0C54C0" w:rsidP="000C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1622/28-4-2021</w:t>
            </w:r>
            <w:r w:rsidR="00AC343A">
              <w:rPr>
                <w:rFonts w:ascii="Arial" w:hAnsi="Arial" w:cs="Arial"/>
                <w:sz w:val="20"/>
                <w:szCs w:val="20"/>
              </w:rPr>
              <w:t xml:space="preserve"> (ΑΔΑ: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6I947LR-B2P</w:t>
            </w:r>
            <w:r w:rsidR="00AC34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C343A" w:rsidRDefault="00AC343A"/>
    <w:p w:rsidR="00AC343A" w:rsidRDefault="00AC343A" w:rsidP="00AC343A">
      <w:r>
        <w:t xml:space="preserve">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0C54C0"/>
    <w:rsid w:val="00142C5F"/>
    <w:rsid w:val="001D03D6"/>
    <w:rsid w:val="001D6DD0"/>
    <w:rsid w:val="001E3541"/>
    <w:rsid w:val="003A7C0E"/>
    <w:rsid w:val="004B2B52"/>
    <w:rsid w:val="004F3331"/>
    <w:rsid w:val="00527AD1"/>
    <w:rsid w:val="00815A9A"/>
    <w:rsid w:val="00875B2B"/>
    <w:rsid w:val="009E26E2"/>
    <w:rsid w:val="00A155E7"/>
    <w:rsid w:val="00A2463A"/>
    <w:rsid w:val="00AC343A"/>
    <w:rsid w:val="00B2759B"/>
    <w:rsid w:val="00B3389D"/>
    <w:rsid w:val="00B84F12"/>
    <w:rsid w:val="00BE095E"/>
    <w:rsid w:val="00DC25AB"/>
    <w:rsid w:val="00E5327B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1627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</dc:creator>
  <cp:lastModifiedBy>egian</cp:lastModifiedBy>
  <cp:revision>16</cp:revision>
  <dcterms:created xsi:type="dcterms:W3CDTF">2022-05-18T11:35:00Z</dcterms:created>
  <dcterms:modified xsi:type="dcterms:W3CDTF">2022-05-19T08:19:00Z</dcterms:modified>
</cp:coreProperties>
</file>