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4300"/>
        <w:gridCol w:w="4222"/>
      </w:tblGrid>
      <w:tr w:rsidR="00AC343A" w:rsidTr="00AC343A">
        <w:trPr>
          <w:trHeight w:val="513"/>
        </w:trPr>
        <w:tc>
          <w:tcPr>
            <w:tcW w:w="8522" w:type="dxa"/>
            <w:gridSpan w:val="2"/>
          </w:tcPr>
          <w:p w:rsidR="00AC343A" w:rsidRPr="006A6CB9" w:rsidRDefault="006A6CB9" w:rsidP="006A6C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ΑΝΑΠΛΑΣΗ ΤΗΣ ΠΛΑΤΕΙΑΣ ΗΡΩΩΝ ΠΟΛΥΤΕΧΝΕΙΟΥ ΚΑΙ ΤΗΣ ΠΛΑΤΕΙΑΣ ΕΘΝΙΚΗΣ ΑΝΤΙΣΤΑΣΗΣ ΤΗΣ ΠΟΛΗΣ ΤΩΝ ΤΡΙΚΑΛΩΝ</w:t>
            </w:r>
          </w:p>
        </w:tc>
      </w:tr>
      <w:tr w:rsidR="00AC343A" w:rsidTr="00AC343A">
        <w:tc>
          <w:tcPr>
            <w:tcW w:w="4300" w:type="dxa"/>
          </w:tcPr>
          <w:p w:rsidR="00AC343A" w:rsidRPr="002760E4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0E4">
              <w:rPr>
                <w:rFonts w:ascii="Arial" w:hAnsi="Arial" w:cs="Arial"/>
                <w:b/>
                <w:sz w:val="20"/>
                <w:szCs w:val="20"/>
              </w:rPr>
              <w:t>ΕΠΙΧΕΙΡΗΣΙΑΚΟ ΠΡΟΓΡΑΜΜΑ:</w:t>
            </w:r>
          </w:p>
        </w:tc>
        <w:tc>
          <w:tcPr>
            <w:tcW w:w="4222" w:type="dxa"/>
          </w:tcPr>
          <w:p w:rsidR="00AC343A" w:rsidRPr="00A81ACA" w:rsidRDefault="00AC343A" w:rsidP="00F9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ACA">
              <w:rPr>
                <w:rFonts w:ascii="Arial" w:hAnsi="Arial" w:cs="Arial"/>
                <w:sz w:val="20"/>
                <w:szCs w:val="20"/>
              </w:rPr>
              <w:t>ΠΕΡΙΦΕΡΕΙΑΚΟ ΕΠΙΧΕΙΡΗΣΙΑΚΟ ΠΡΟΓΡΑΜΜΑ ΘΕΣΣΑΛΙΑΣ 2014-2020</w:t>
            </w:r>
          </w:p>
        </w:tc>
      </w:tr>
      <w:tr w:rsidR="00AC343A" w:rsidTr="00AC343A">
        <w:tc>
          <w:tcPr>
            <w:tcW w:w="4300" w:type="dxa"/>
          </w:tcPr>
          <w:p w:rsidR="00AC343A" w:rsidRPr="002760E4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0E4">
              <w:rPr>
                <w:rFonts w:ascii="Arial" w:hAnsi="Arial" w:cs="Arial"/>
                <w:b/>
                <w:sz w:val="20"/>
                <w:szCs w:val="20"/>
              </w:rPr>
              <w:t>ΔΙΑΡΘΡΩΤΙΚΟ ΤΑΜΕΙΟ :</w:t>
            </w:r>
          </w:p>
        </w:tc>
        <w:tc>
          <w:tcPr>
            <w:tcW w:w="4222" w:type="dxa"/>
          </w:tcPr>
          <w:p w:rsidR="00AC343A" w:rsidRPr="00A81ACA" w:rsidRDefault="00AC343A" w:rsidP="00F9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Ε.Τ.Π.Α (</w:t>
            </w:r>
            <w:r w:rsidRPr="00A81ACA">
              <w:rPr>
                <w:rFonts w:ascii="Arial" w:hAnsi="Arial" w:cs="Arial"/>
                <w:sz w:val="20"/>
                <w:szCs w:val="20"/>
              </w:rPr>
              <w:t>Ευρωπαϊκό Ταμείο Περιφερειακής Ανάπτυξης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C343A" w:rsidTr="00AC343A">
        <w:tc>
          <w:tcPr>
            <w:tcW w:w="4300" w:type="dxa"/>
          </w:tcPr>
          <w:p w:rsidR="00AC343A" w:rsidRPr="002760E4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0E4">
              <w:rPr>
                <w:rFonts w:ascii="Arial" w:hAnsi="Arial" w:cs="Arial"/>
                <w:b/>
                <w:sz w:val="20"/>
                <w:szCs w:val="20"/>
              </w:rPr>
              <w:t>ΔΙΚΑΙΟΥΧΟΣ:</w:t>
            </w:r>
          </w:p>
        </w:tc>
        <w:tc>
          <w:tcPr>
            <w:tcW w:w="4222" w:type="dxa"/>
          </w:tcPr>
          <w:p w:rsidR="00AC343A" w:rsidRPr="00A81ACA" w:rsidRDefault="00AC343A" w:rsidP="00F9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ACA">
              <w:rPr>
                <w:rFonts w:ascii="Arial" w:hAnsi="Arial" w:cs="Arial"/>
                <w:sz w:val="20"/>
                <w:szCs w:val="20"/>
              </w:rPr>
              <w:t>ΔΗΜΟΣ ΤΡΙΚΚΑΙΩΝ</w:t>
            </w:r>
          </w:p>
        </w:tc>
      </w:tr>
      <w:tr w:rsidR="00AC343A" w:rsidTr="00AC343A">
        <w:tc>
          <w:tcPr>
            <w:tcW w:w="4300" w:type="dxa"/>
          </w:tcPr>
          <w:p w:rsidR="00AC343A" w:rsidRPr="002760E4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0E4">
              <w:rPr>
                <w:rFonts w:ascii="Arial" w:hAnsi="Arial" w:cs="Arial"/>
                <w:b/>
                <w:sz w:val="20"/>
                <w:szCs w:val="20"/>
              </w:rPr>
              <w:t>ΠΡΟΫΠΟΛΟΓΙΣΜΟΣ  Δ.Δ:</w:t>
            </w:r>
          </w:p>
        </w:tc>
        <w:tc>
          <w:tcPr>
            <w:tcW w:w="4222" w:type="dxa"/>
          </w:tcPr>
          <w:p w:rsidR="00AC343A" w:rsidRPr="00A81ACA" w:rsidRDefault="006A6CB9" w:rsidP="00B84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3.000.000</w:t>
            </w:r>
            <w:r w:rsidR="00851F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343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AC343A" w:rsidTr="00AC343A">
        <w:tc>
          <w:tcPr>
            <w:tcW w:w="4300" w:type="dxa"/>
          </w:tcPr>
          <w:p w:rsidR="00AC343A" w:rsidRPr="002760E4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ΣΥΝΟΠΤΙΚΗ  </w:t>
            </w:r>
            <w:r w:rsidRPr="002760E4">
              <w:rPr>
                <w:rFonts w:ascii="Arial" w:hAnsi="Arial" w:cs="Arial"/>
                <w:b/>
                <w:sz w:val="20"/>
                <w:szCs w:val="20"/>
              </w:rPr>
              <w:t>ΠΕΡΙΓΡΑΦΗ</w:t>
            </w:r>
            <w:r>
              <w:rPr>
                <w:rFonts w:ascii="Arial" w:hAnsi="Arial" w:cs="Arial"/>
                <w:b/>
                <w:sz w:val="20"/>
                <w:szCs w:val="20"/>
              </w:rPr>
              <w:t>- ΣΚΟΠΙΜΟΤΗΤΑ</w:t>
            </w:r>
            <w:r w:rsidRPr="002760E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22" w:type="dxa"/>
          </w:tcPr>
          <w:p w:rsidR="006A6CB9" w:rsidRPr="006A6CB9" w:rsidRDefault="006A6CB9" w:rsidP="006A6C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CB9">
              <w:rPr>
                <w:rFonts w:ascii="Arial" w:hAnsi="Arial" w:cs="Arial"/>
                <w:sz w:val="20"/>
                <w:szCs w:val="20"/>
              </w:rPr>
              <w:t xml:space="preserve">Η πράξη αφορά στην αισθητική και περιβαλλοντική ανάπλαση συνολικής επιφάνειας 10.775m2 και περιλαμβάνει </w:t>
            </w:r>
          </w:p>
          <w:p w:rsidR="006A6CB9" w:rsidRPr="006A6CB9" w:rsidRDefault="006A6CB9" w:rsidP="006A6C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CB9">
              <w:rPr>
                <w:rFonts w:ascii="Arial" w:hAnsi="Arial" w:cs="Arial"/>
                <w:sz w:val="20"/>
                <w:szCs w:val="20"/>
              </w:rPr>
              <w:t xml:space="preserve">-την πλατεία  Ηρώων Πολυτεχνείου (κεντρική πλατεία), συνολικού εμβαδού 5.755,54 </w:t>
            </w:r>
            <w:proofErr w:type="spellStart"/>
            <w:r w:rsidRPr="006A6CB9">
              <w:rPr>
                <w:rFonts w:ascii="Arial" w:hAnsi="Arial" w:cs="Arial"/>
                <w:sz w:val="20"/>
                <w:szCs w:val="20"/>
              </w:rPr>
              <w:t>τ.μ</w:t>
            </w:r>
            <w:proofErr w:type="spellEnd"/>
            <w:r w:rsidRPr="006A6CB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A6CB9" w:rsidRPr="006A6CB9" w:rsidRDefault="006A6CB9" w:rsidP="006A6C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CB9">
              <w:rPr>
                <w:rFonts w:ascii="Arial" w:hAnsi="Arial" w:cs="Arial"/>
                <w:sz w:val="20"/>
                <w:szCs w:val="20"/>
              </w:rPr>
              <w:t xml:space="preserve">-την πλατεία Εθνικής Αντίστασης, συνολικού εμβαδού 3.916,46 </w:t>
            </w:r>
            <w:proofErr w:type="spellStart"/>
            <w:r w:rsidRPr="006A6CB9">
              <w:rPr>
                <w:rFonts w:ascii="Arial" w:hAnsi="Arial" w:cs="Arial"/>
                <w:sz w:val="20"/>
                <w:szCs w:val="20"/>
              </w:rPr>
              <w:t>τ.μ</w:t>
            </w:r>
            <w:proofErr w:type="spellEnd"/>
            <w:r w:rsidRPr="006A6CB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A6CB9" w:rsidRPr="006A6CB9" w:rsidRDefault="006A6CB9" w:rsidP="006A6C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CB9">
              <w:rPr>
                <w:rFonts w:ascii="Arial" w:hAnsi="Arial" w:cs="Arial"/>
                <w:sz w:val="20"/>
                <w:szCs w:val="20"/>
              </w:rPr>
              <w:t xml:space="preserve">-την περιοχή στο μέτωπο προς την πλευρά του ποταμού </w:t>
            </w:r>
            <w:proofErr w:type="spellStart"/>
            <w:r w:rsidRPr="006A6CB9">
              <w:rPr>
                <w:rFonts w:ascii="Arial" w:hAnsi="Arial" w:cs="Arial"/>
                <w:sz w:val="20"/>
                <w:szCs w:val="20"/>
              </w:rPr>
              <w:t>Ληθαίου</w:t>
            </w:r>
            <w:proofErr w:type="spellEnd"/>
            <w:r w:rsidRPr="006A6CB9">
              <w:rPr>
                <w:rFonts w:ascii="Arial" w:hAnsi="Arial" w:cs="Arial"/>
                <w:sz w:val="20"/>
                <w:szCs w:val="20"/>
              </w:rPr>
              <w:t xml:space="preserve">, που συνδέει τις δύο πλατείες εμβαδού 1.103 </w:t>
            </w:r>
            <w:proofErr w:type="spellStart"/>
            <w:r w:rsidRPr="006A6CB9">
              <w:rPr>
                <w:rFonts w:ascii="Arial" w:hAnsi="Arial" w:cs="Arial"/>
                <w:sz w:val="20"/>
                <w:szCs w:val="20"/>
              </w:rPr>
              <w:t>τ.μ</w:t>
            </w:r>
            <w:proofErr w:type="spellEnd"/>
            <w:r w:rsidRPr="006A6CB9">
              <w:rPr>
                <w:rFonts w:ascii="Arial" w:hAnsi="Arial" w:cs="Arial"/>
                <w:sz w:val="20"/>
                <w:szCs w:val="20"/>
              </w:rPr>
              <w:t>. , η οποία ξεκινάει από την οδό Αμαλίας κοντά στη συμβολή της με την οδό Σαράφη  και συνεχίζει επί της οδού Τσιτσάνη.</w:t>
            </w:r>
          </w:p>
          <w:p w:rsidR="006A6CB9" w:rsidRPr="006A6CB9" w:rsidRDefault="006A6CB9" w:rsidP="006A6C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CB9">
              <w:rPr>
                <w:rFonts w:ascii="Arial" w:hAnsi="Arial" w:cs="Arial"/>
                <w:sz w:val="20"/>
                <w:szCs w:val="20"/>
              </w:rPr>
              <w:t xml:space="preserve">Αναφορικά με την Κεντρική πλατεία (Ηρώων Πολυτεχνείου), προβλέπονται οι απαραίτητες εργασίες διαμόρφωσης εδάφους (εκσκαφές, </w:t>
            </w:r>
            <w:proofErr w:type="spellStart"/>
            <w:r w:rsidRPr="006A6CB9">
              <w:rPr>
                <w:rFonts w:ascii="Arial" w:hAnsi="Arial" w:cs="Arial"/>
                <w:sz w:val="20"/>
                <w:szCs w:val="20"/>
              </w:rPr>
              <w:t>επιχώσεις</w:t>
            </w:r>
            <w:proofErr w:type="spellEnd"/>
            <w:r w:rsidRPr="006A6CB9">
              <w:rPr>
                <w:rFonts w:ascii="Arial" w:hAnsi="Arial" w:cs="Arial"/>
                <w:sz w:val="20"/>
                <w:szCs w:val="20"/>
              </w:rPr>
              <w:t>, καθαιρέσεις) για τη δημιουργία ενός εκτεταμένου, ανοιχτού κεντρικού πλατώματος .</w:t>
            </w:r>
          </w:p>
          <w:p w:rsidR="006A6CB9" w:rsidRPr="006A6CB9" w:rsidRDefault="006A6CB9" w:rsidP="006A6C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CB9">
              <w:rPr>
                <w:rFonts w:ascii="Arial" w:hAnsi="Arial" w:cs="Arial"/>
                <w:sz w:val="20"/>
                <w:szCs w:val="20"/>
              </w:rPr>
              <w:t xml:space="preserve">Η περιοχή προς την πλευρά του </w:t>
            </w:r>
            <w:proofErr w:type="spellStart"/>
            <w:r w:rsidRPr="006A6CB9">
              <w:rPr>
                <w:rFonts w:ascii="Arial" w:hAnsi="Arial" w:cs="Arial"/>
                <w:sz w:val="20"/>
                <w:szCs w:val="20"/>
              </w:rPr>
              <w:t>Ληθαίου</w:t>
            </w:r>
            <w:proofErr w:type="spellEnd"/>
            <w:r w:rsidRPr="006A6CB9">
              <w:rPr>
                <w:rFonts w:ascii="Arial" w:hAnsi="Arial" w:cs="Arial"/>
                <w:sz w:val="20"/>
                <w:szCs w:val="20"/>
              </w:rPr>
              <w:t xml:space="preserve"> ποταμού, που  συνδέει τις δύο πλατείες, διαμορφώνεται με δύο τύπους  χυτού έγχρωμου επεξεργασμένου σκυροδέματος,  περιλαμβάνει ζώνη  όδευσης τυφλών όπως και </w:t>
            </w:r>
            <w:proofErr w:type="spellStart"/>
            <w:r w:rsidRPr="006A6CB9">
              <w:rPr>
                <w:rFonts w:ascii="Arial" w:hAnsi="Arial" w:cs="Arial"/>
                <w:sz w:val="20"/>
                <w:szCs w:val="20"/>
              </w:rPr>
              <w:t>ποδηλατόδρομο</w:t>
            </w:r>
            <w:proofErr w:type="spellEnd"/>
            <w:r w:rsidRPr="006A6CB9">
              <w:rPr>
                <w:rFonts w:ascii="Arial" w:hAnsi="Arial" w:cs="Arial"/>
                <w:sz w:val="20"/>
                <w:szCs w:val="20"/>
              </w:rPr>
              <w:t xml:space="preserve"> και οδηγεί στην πλατεία Εθνικής Αντίστασης. </w:t>
            </w:r>
          </w:p>
          <w:p w:rsidR="006A6CB9" w:rsidRPr="006A6CB9" w:rsidRDefault="006A6CB9" w:rsidP="006A6C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CB9">
              <w:rPr>
                <w:rFonts w:ascii="Arial" w:hAnsi="Arial" w:cs="Arial"/>
                <w:sz w:val="20"/>
                <w:szCs w:val="20"/>
              </w:rPr>
              <w:t xml:space="preserve">Στην  πλατεία Εθνικής αντίστασης προβλέπεται υπερύψωση του κεντρικού τμήματός της με σκοπό την ομαλότερη προσέγγιση της γέφυρας </w:t>
            </w:r>
            <w:proofErr w:type="spellStart"/>
            <w:r w:rsidRPr="006A6CB9">
              <w:rPr>
                <w:rFonts w:ascii="Arial" w:hAnsi="Arial" w:cs="Arial"/>
                <w:sz w:val="20"/>
                <w:szCs w:val="20"/>
              </w:rPr>
              <w:t>Μαρούγγαινας</w:t>
            </w:r>
            <w:proofErr w:type="spellEnd"/>
            <w:r w:rsidRPr="006A6CB9">
              <w:rPr>
                <w:rFonts w:ascii="Arial" w:hAnsi="Arial" w:cs="Arial"/>
                <w:sz w:val="20"/>
                <w:szCs w:val="20"/>
              </w:rPr>
              <w:t xml:space="preserve">, ιδιαίτερα από άτομα περιορισμένης κινητικότητας. Το κύριο υλικό διάστρωσης είναι χυτό δάπεδο επεξεργασμένου σκυροδέματος. Στο πράσινο πρανές του </w:t>
            </w:r>
            <w:proofErr w:type="spellStart"/>
            <w:r w:rsidRPr="006A6CB9">
              <w:rPr>
                <w:rFonts w:ascii="Arial" w:hAnsi="Arial" w:cs="Arial"/>
                <w:sz w:val="20"/>
                <w:szCs w:val="20"/>
              </w:rPr>
              <w:t>Ληθαίου</w:t>
            </w:r>
            <w:proofErr w:type="spellEnd"/>
            <w:r w:rsidRPr="006A6CB9">
              <w:rPr>
                <w:rFonts w:ascii="Arial" w:hAnsi="Arial" w:cs="Arial"/>
                <w:sz w:val="20"/>
                <w:szCs w:val="20"/>
              </w:rPr>
              <w:t xml:space="preserve"> ποταμού, και επί της ιδιοκτησίας του </w:t>
            </w:r>
            <w:proofErr w:type="spellStart"/>
            <w:r w:rsidRPr="006A6CB9">
              <w:rPr>
                <w:rFonts w:ascii="Arial" w:hAnsi="Arial" w:cs="Arial"/>
                <w:sz w:val="20"/>
                <w:szCs w:val="20"/>
              </w:rPr>
              <w:t>Δ.Τρικκαιων</w:t>
            </w:r>
            <w:proofErr w:type="spellEnd"/>
            <w:r w:rsidRPr="006A6CB9">
              <w:rPr>
                <w:rFonts w:ascii="Arial" w:hAnsi="Arial" w:cs="Arial"/>
                <w:sz w:val="20"/>
                <w:szCs w:val="20"/>
              </w:rPr>
              <w:t xml:space="preserve">,  διαμορφώνονται αμφιθεατρικά κερκίδες και μια ράμπα ομαλής κατάβασης προς την όχθη του ποταμού. Νότια της πλατείας, αναπτύσσεται ο κήπος των Ιαμάτων, από επιφάνειες πρασίνου φυτεμένες με αρωματικά και φαρμακευτικά φυτά. </w:t>
            </w:r>
          </w:p>
          <w:p w:rsidR="00656398" w:rsidRPr="00A81ACA" w:rsidRDefault="006A6CB9" w:rsidP="006A6C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CB9">
              <w:rPr>
                <w:rFonts w:ascii="Arial" w:hAnsi="Arial" w:cs="Arial"/>
                <w:sz w:val="20"/>
                <w:szCs w:val="20"/>
              </w:rPr>
              <w:t xml:space="preserve">Στοιχεία αστικού εξοπλισμού (καθιστικά, ψηλός, χαμηλός και </w:t>
            </w:r>
            <w:proofErr w:type="spellStart"/>
            <w:r w:rsidRPr="006A6CB9">
              <w:rPr>
                <w:rFonts w:ascii="Arial" w:hAnsi="Arial" w:cs="Arial"/>
                <w:sz w:val="20"/>
                <w:szCs w:val="20"/>
              </w:rPr>
              <w:t>ενδοδαπέδιος</w:t>
            </w:r>
            <w:proofErr w:type="spellEnd"/>
            <w:r w:rsidRPr="006A6CB9">
              <w:rPr>
                <w:rFonts w:ascii="Arial" w:hAnsi="Arial" w:cs="Arial"/>
                <w:sz w:val="20"/>
                <w:szCs w:val="20"/>
              </w:rPr>
              <w:t xml:space="preserve"> φωτισμός, δοχεία απορριμμάτων, κρήνες κα) ολοκληρώνουν αισθητικά και λειτουργικά  την ανάπλαση των δύο πλατειών.</w:t>
            </w:r>
          </w:p>
        </w:tc>
      </w:tr>
      <w:tr w:rsidR="00AC343A" w:rsidTr="00AC343A">
        <w:tc>
          <w:tcPr>
            <w:tcW w:w="4300" w:type="dxa"/>
          </w:tcPr>
          <w:p w:rsidR="00AC343A" w:rsidRPr="00E732A3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ΚΩΔΙΚΟΣ ΟΠΣ:</w:t>
            </w:r>
          </w:p>
        </w:tc>
        <w:tc>
          <w:tcPr>
            <w:tcW w:w="4222" w:type="dxa"/>
          </w:tcPr>
          <w:p w:rsidR="00AC343A" w:rsidRPr="00BE095E" w:rsidRDefault="004F3331" w:rsidP="006A6CB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6A6CB9">
              <w:rPr>
                <w:rFonts w:ascii="Arial" w:hAnsi="Arial" w:cs="Arial"/>
                <w:sz w:val="20"/>
                <w:szCs w:val="20"/>
              </w:rPr>
              <w:t>67651</w:t>
            </w:r>
          </w:p>
        </w:tc>
      </w:tr>
      <w:tr w:rsidR="00AC343A" w:rsidTr="00AC343A">
        <w:tc>
          <w:tcPr>
            <w:tcW w:w="4300" w:type="dxa"/>
          </w:tcPr>
          <w:p w:rsidR="00AC343A" w:rsidRPr="006B0497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0497">
              <w:rPr>
                <w:rFonts w:ascii="Arial" w:hAnsi="Arial" w:cs="Arial"/>
                <w:b/>
                <w:sz w:val="20"/>
                <w:szCs w:val="20"/>
              </w:rPr>
              <w:t>ΑΠΟΦΑΣΗ ΕΝΤΑΞΗΣ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22" w:type="dxa"/>
          </w:tcPr>
          <w:p w:rsidR="00AC343A" w:rsidRPr="00A81ACA" w:rsidRDefault="006A6CB9" w:rsidP="006A6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486/4-2-2021</w:t>
            </w:r>
            <w:r w:rsidR="00AC343A">
              <w:rPr>
                <w:rFonts w:ascii="Arial" w:hAnsi="Arial" w:cs="Arial"/>
                <w:sz w:val="20"/>
                <w:szCs w:val="20"/>
              </w:rPr>
              <w:t xml:space="preserve"> (ΑΔΑ:</w:t>
            </w:r>
            <w:r>
              <w:rPr>
                <w:rFonts w:ascii="Arial" w:hAnsi="Arial" w:cs="Arial"/>
                <w:sz w:val="20"/>
                <w:szCs w:val="20"/>
              </w:rPr>
              <w:t>64ΟΔ7ΛΡ-ΙΦΕ</w:t>
            </w:r>
            <w:r w:rsidR="00AC343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AC343A" w:rsidRDefault="00AC343A"/>
    <w:p w:rsidR="00AC343A" w:rsidRDefault="00AC343A"/>
    <w:p w:rsidR="00AC343A" w:rsidRDefault="00AC343A"/>
    <w:p w:rsidR="00AC343A" w:rsidRDefault="00AC343A"/>
    <w:p w:rsidR="00AC343A" w:rsidRDefault="00AC343A" w:rsidP="00AC343A">
      <w:r>
        <w:t xml:space="preserve">   </w:t>
      </w:r>
      <w:r>
        <w:rPr>
          <w:rFonts w:ascii="Calibri" w:eastAsia="Calibri" w:hAnsi="Calibri" w:cs="Calibri"/>
          <w:noProof/>
        </w:rPr>
        <w:drawing>
          <wp:inline distT="0" distB="0" distL="0" distR="0">
            <wp:extent cx="1676400" cy="1143000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lang w:val="en-US"/>
        </w:rPr>
        <w:t xml:space="preserve">                                </w:t>
      </w:r>
      <w:r>
        <w:t xml:space="preserve"> </w:t>
      </w:r>
      <w:r w:rsidRPr="00AC343A">
        <w:rPr>
          <w:noProof/>
        </w:rPr>
        <w:drawing>
          <wp:inline distT="0" distB="0" distL="0" distR="0">
            <wp:extent cx="1609725" cy="962025"/>
            <wp:effectExtent l="19050" t="0" r="9525" b="0"/>
            <wp:docPr id="5" name="Εικόνα 2" descr="espa1420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pa1420_logo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</w:p>
    <w:p w:rsidR="00AC343A" w:rsidRDefault="00AC343A"/>
    <w:sectPr w:rsidR="00AC343A" w:rsidSect="00E532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25E36"/>
    <w:multiLevelType w:val="hybridMultilevel"/>
    <w:tmpl w:val="00866A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C1608"/>
    <w:multiLevelType w:val="hybridMultilevel"/>
    <w:tmpl w:val="1E669D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43A"/>
    <w:rsid w:val="000F2421"/>
    <w:rsid w:val="001D03D6"/>
    <w:rsid w:val="004877FC"/>
    <w:rsid w:val="004B2B52"/>
    <w:rsid w:val="004F3331"/>
    <w:rsid w:val="00527AD1"/>
    <w:rsid w:val="005D61EF"/>
    <w:rsid w:val="00656398"/>
    <w:rsid w:val="006A6CB9"/>
    <w:rsid w:val="00815A9A"/>
    <w:rsid w:val="00851F1B"/>
    <w:rsid w:val="00875B2B"/>
    <w:rsid w:val="009E26E2"/>
    <w:rsid w:val="00A2463A"/>
    <w:rsid w:val="00AC343A"/>
    <w:rsid w:val="00B84F12"/>
    <w:rsid w:val="00BE095E"/>
    <w:rsid w:val="00D0437A"/>
    <w:rsid w:val="00DC25AB"/>
    <w:rsid w:val="00E5327B"/>
    <w:rsid w:val="00F8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ιμένου Char"/>
    <w:basedOn w:val="a0"/>
    <w:link w:val="a4"/>
    <w:rsid w:val="00AC343A"/>
    <w:rPr>
      <w:rFonts w:ascii="Microsoft Sans Serif" w:hAnsi="Microsoft Sans Serif"/>
      <w:sz w:val="14"/>
      <w:szCs w:val="14"/>
      <w:shd w:val="clear" w:color="auto" w:fill="FFFFFF"/>
    </w:rPr>
  </w:style>
  <w:style w:type="paragraph" w:styleId="a4">
    <w:name w:val="Body Text"/>
    <w:basedOn w:val="a"/>
    <w:link w:val="Char"/>
    <w:rsid w:val="00AC343A"/>
    <w:pPr>
      <w:widowControl w:val="0"/>
      <w:shd w:val="clear" w:color="auto" w:fill="FFFFFF"/>
      <w:spacing w:before="840" w:after="480" w:line="240" w:lineRule="atLeast"/>
      <w:ind w:hanging="400"/>
    </w:pPr>
    <w:rPr>
      <w:rFonts w:ascii="Microsoft Sans Serif" w:eastAsiaTheme="minorHAnsi" w:hAnsi="Microsoft Sans Serif" w:cstheme="minorBidi"/>
      <w:sz w:val="14"/>
      <w:szCs w:val="14"/>
      <w:lang w:eastAsia="en-US"/>
    </w:rPr>
  </w:style>
  <w:style w:type="character" w:customStyle="1" w:styleId="Char1">
    <w:name w:val="Σώμα κειμένου Char1"/>
    <w:basedOn w:val="a0"/>
    <w:link w:val="a4"/>
    <w:uiPriority w:val="99"/>
    <w:semiHidden/>
    <w:rsid w:val="00AC343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AC343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C343A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List Paragraph"/>
    <w:basedOn w:val="a"/>
    <w:uiPriority w:val="34"/>
    <w:qFormat/>
    <w:rsid w:val="00656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egian</dc:creator>
  <cp:lastModifiedBy>egian</cp:lastModifiedBy>
  <cp:revision>11</cp:revision>
  <dcterms:created xsi:type="dcterms:W3CDTF">2022-05-18T11:35:00Z</dcterms:created>
  <dcterms:modified xsi:type="dcterms:W3CDTF">2022-05-19T08:13:00Z</dcterms:modified>
</cp:coreProperties>
</file>