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4300"/>
        <w:gridCol w:w="4222"/>
      </w:tblGrid>
      <w:tr w:rsidR="00AC343A" w:rsidTr="00AC343A">
        <w:trPr>
          <w:trHeight w:val="513"/>
        </w:trPr>
        <w:tc>
          <w:tcPr>
            <w:tcW w:w="8522" w:type="dxa"/>
            <w:gridSpan w:val="2"/>
          </w:tcPr>
          <w:p w:rsidR="00AC343A" w:rsidRPr="003B5F3B" w:rsidRDefault="003B5F3B" w:rsidP="003B5F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ΠΕΡΙΒΑΛΛΟΝΤΙΚΗ &amp; ΑΙΣΘΗΤΙΚΗ ΑΝΑΒΑΘΜΙΣΗ ΝΟΤΙΑΣ ΕΙΣΟΔΟΥ ΤΗΣ ΠΟΛΗΣ ΤΩΝ ΤΡΙΚΑΛΩΝ</w:t>
            </w:r>
          </w:p>
        </w:tc>
      </w:tr>
      <w:tr w:rsidR="00AC343A" w:rsidTr="00AC343A">
        <w:tc>
          <w:tcPr>
            <w:tcW w:w="4300" w:type="dxa"/>
          </w:tcPr>
          <w:p w:rsidR="00AC343A" w:rsidRPr="002760E4" w:rsidRDefault="00AC343A" w:rsidP="00F91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0E4">
              <w:rPr>
                <w:rFonts w:ascii="Arial" w:hAnsi="Arial" w:cs="Arial"/>
                <w:b/>
                <w:sz w:val="20"/>
                <w:szCs w:val="20"/>
              </w:rPr>
              <w:t>ΕΠΙΧΕΙΡΗΣΙΑΚΟ ΠΡΟΓΡΑΜΜΑ:</w:t>
            </w:r>
          </w:p>
        </w:tc>
        <w:tc>
          <w:tcPr>
            <w:tcW w:w="4222" w:type="dxa"/>
          </w:tcPr>
          <w:p w:rsidR="00AC343A" w:rsidRPr="00A81ACA" w:rsidRDefault="00AC343A" w:rsidP="00F9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ACA">
              <w:rPr>
                <w:rFonts w:ascii="Arial" w:hAnsi="Arial" w:cs="Arial"/>
                <w:sz w:val="20"/>
                <w:szCs w:val="20"/>
              </w:rPr>
              <w:t>ΠΕΡΙΦΕΡΕΙΑΚΟ ΕΠΙΧΕΙΡΗΣΙΑΚΟ ΠΡΟΓΡΑΜΜΑ ΘΕΣΣΑΛΙΑΣ 2014-2020</w:t>
            </w:r>
          </w:p>
        </w:tc>
      </w:tr>
      <w:tr w:rsidR="00AC343A" w:rsidTr="00AC343A">
        <w:tc>
          <w:tcPr>
            <w:tcW w:w="4300" w:type="dxa"/>
          </w:tcPr>
          <w:p w:rsidR="00AC343A" w:rsidRPr="002760E4" w:rsidRDefault="00AC343A" w:rsidP="00F91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0E4">
              <w:rPr>
                <w:rFonts w:ascii="Arial" w:hAnsi="Arial" w:cs="Arial"/>
                <w:b/>
                <w:sz w:val="20"/>
                <w:szCs w:val="20"/>
              </w:rPr>
              <w:t>ΔΙΑΡΘΡΩΤΙΚΟ ΤΑΜΕΙΟ :</w:t>
            </w:r>
          </w:p>
        </w:tc>
        <w:tc>
          <w:tcPr>
            <w:tcW w:w="4222" w:type="dxa"/>
          </w:tcPr>
          <w:p w:rsidR="00AC343A" w:rsidRPr="00A81ACA" w:rsidRDefault="00AC343A" w:rsidP="00F9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Ε.Τ.Π.Α (</w:t>
            </w:r>
            <w:r w:rsidRPr="00A81ACA">
              <w:rPr>
                <w:rFonts w:ascii="Arial" w:hAnsi="Arial" w:cs="Arial"/>
                <w:sz w:val="20"/>
                <w:szCs w:val="20"/>
              </w:rPr>
              <w:t>Ευρωπαϊκό Ταμείο Περιφερειακής Ανάπτυξης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C343A" w:rsidTr="00AC343A">
        <w:tc>
          <w:tcPr>
            <w:tcW w:w="4300" w:type="dxa"/>
          </w:tcPr>
          <w:p w:rsidR="00AC343A" w:rsidRPr="002760E4" w:rsidRDefault="00AC343A" w:rsidP="00F91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0E4">
              <w:rPr>
                <w:rFonts w:ascii="Arial" w:hAnsi="Arial" w:cs="Arial"/>
                <w:b/>
                <w:sz w:val="20"/>
                <w:szCs w:val="20"/>
              </w:rPr>
              <w:t>ΔΙΚΑΙΟΥΧΟΣ:</w:t>
            </w:r>
          </w:p>
        </w:tc>
        <w:tc>
          <w:tcPr>
            <w:tcW w:w="4222" w:type="dxa"/>
          </w:tcPr>
          <w:p w:rsidR="00AC343A" w:rsidRPr="00A81ACA" w:rsidRDefault="00AC343A" w:rsidP="00F91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ACA">
              <w:rPr>
                <w:rFonts w:ascii="Arial" w:hAnsi="Arial" w:cs="Arial"/>
                <w:sz w:val="20"/>
                <w:szCs w:val="20"/>
              </w:rPr>
              <w:t>ΔΗΜΟΣ ΤΡΙΚΚΑΙΩΝ</w:t>
            </w:r>
          </w:p>
        </w:tc>
      </w:tr>
      <w:tr w:rsidR="00AC343A" w:rsidTr="00AC343A">
        <w:tc>
          <w:tcPr>
            <w:tcW w:w="4300" w:type="dxa"/>
          </w:tcPr>
          <w:p w:rsidR="00AC343A" w:rsidRPr="002760E4" w:rsidRDefault="00AC343A" w:rsidP="00F91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0E4">
              <w:rPr>
                <w:rFonts w:ascii="Arial" w:hAnsi="Arial" w:cs="Arial"/>
                <w:b/>
                <w:sz w:val="20"/>
                <w:szCs w:val="20"/>
              </w:rPr>
              <w:t>ΠΡΟΫΠΟΛΟΓΙΣΜΟΣ  Δ.Δ:</w:t>
            </w:r>
          </w:p>
        </w:tc>
        <w:tc>
          <w:tcPr>
            <w:tcW w:w="4222" w:type="dxa"/>
          </w:tcPr>
          <w:p w:rsidR="00AC343A" w:rsidRPr="00A81ACA" w:rsidRDefault="003B5F3B" w:rsidP="00B84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1.488.621,90</w:t>
            </w:r>
            <w:r w:rsidR="00AC343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AC343A" w:rsidTr="00AC343A">
        <w:tc>
          <w:tcPr>
            <w:tcW w:w="4300" w:type="dxa"/>
          </w:tcPr>
          <w:p w:rsidR="00AC343A" w:rsidRPr="002760E4" w:rsidRDefault="00AC343A" w:rsidP="00F916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ΣΥΝΟΠΤΙΚΗ  </w:t>
            </w:r>
            <w:r w:rsidRPr="002760E4">
              <w:rPr>
                <w:rFonts w:ascii="Arial" w:hAnsi="Arial" w:cs="Arial"/>
                <w:b/>
                <w:sz w:val="20"/>
                <w:szCs w:val="20"/>
              </w:rPr>
              <w:t>ΠΕΡΙΓΡΑΦΗ</w:t>
            </w:r>
            <w:r>
              <w:rPr>
                <w:rFonts w:ascii="Arial" w:hAnsi="Arial" w:cs="Arial"/>
                <w:b/>
                <w:sz w:val="20"/>
                <w:szCs w:val="20"/>
              </w:rPr>
              <w:t>- ΣΚΟΠΙΜΟΤΗΤΑ</w:t>
            </w:r>
            <w:r w:rsidRPr="002760E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22" w:type="dxa"/>
          </w:tcPr>
          <w:p w:rsidR="003B5F3B" w:rsidRPr="003B5F3B" w:rsidRDefault="003B5F3B" w:rsidP="003B5F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3B">
              <w:rPr>
                <w:rFonts w:ascii="Arial" w:hAnsi="Arial" w:cs="Arial"/>
                <w:sz w:val="20"/>
                <w:szCs w:val="20"/>
              </w:rPr>
              <w:t xml:space="preserve">Η πράξη αφορά στην Ανάπλαση της Οδού </w:t>
            </w:r>
            <w:proofErr w:type="spellStart"/>
            <w:r w:rsidRPr="003B5F3B">
              <w:rPr>
                <w:rFonts w:ascii="Arial" w:hAnsi="Arial" w:cs="Arial"/>
                <w:sz w:val="20"/>
                <w:szCs w:val="20"/>
              </w:rPr>
              <w:t>Καρδίτσης</w:t>
            </w:r>
            <w:proofErr w:type="spellEnd"/>
            <w:r w:rsidRPr="003B5F3B">
              <w:rPr>
                <w:rFonts w:ascii="Arial" w:hAnsi="Arial" w:cs="Arial"/>
                <w:sz w:val="20"/>
                <w:szCs w:val="20"/>
              </w:rPr>
              <w:t xml:space="preserve"> και συγκεκριμένα περιλαμβάνει:</w:t>
            </w:r>
          </w:p>
          <w:p w:rsidR="003B5F3B" w:rsidRDefault="003B5F3B" w:rsidP="003B5F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3B">
              <w:rPr>
                <w:rFonts w:ascii="Arial" w:hAnsi="Arial" w:cs="Arial"/>
                <w:sz w:val="20"/>
                <w:szCs w:val="20"/>
              </w:rPr>
              <w:t>- 1ο υποέργο. Αφορά στις κατασκευαστικές εργασίες με σκοπό την αισθητική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5F3B">
              <w:rPr>
                <w:rFonts w:ascii="Arial" w:hAnsi="Arial" w:cs="Arial"/>
                <w:sz w:val="20"/>
                <w:szCs w:val="20"/>
              </w:rPr>
              <w:t xml:space="preserve">αναβάθμιση της οδού </w:t>
            </w:r>
            <w:proofErr w:type="spellStart"/>
            <w:r w:rsidRPr="003B5F3B">
              <w:rPr>
                <w:rFonts w:ascii="Arial" w:hAnsi="Arial" w:cs="Arial"/>
                <w:sz w:val="20"/>
                <w:szCs w:val="20"/>
              </w:rPr>
              <w:t>Καρδίτσης</w:t>
            </w:r>
            <w:proofErr w:type="spellEnd"/>
            <w:r w:rsidRPr="003B5F3B">
              <w:rPr>
                <w:rFonts w:ascii="Arial" w:hAnsi="Arial" w:cs="Arial"/>
                <w:sz w:val="20"/>
                <w:szCs w:val="20"/>
              </w:rPr>
              <w:t>, μίας από τις βασικές οδούς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5F3B">
              <w:rPr>
                <w:rFonts w:ascii="Arial" w:hAnsi="Arial" w:cs="Arial"/>
                <w:sz w:val="20"/>
                <w:szCs w:val="20"/>
              </w:rPr>
              <w:t>της πόλης των Τρικάλων, με μεταβλητό πλάτος από 20,00 έως 24,00 μέτρα, σύμφωνα με το εγκεκριμένο σχέδιο πόλης και συνολικό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5F3B">
              <w:rPr>
                <w:rFonts w:ascii="Arial" w:hAnsi="Arial" w:cs="Arial"/>
                <w:sz w:val="20"/>
                <w:szCs w:val="20"/>
              </w:rPr>
              <w:t>μήκος περίπου 1.000 μ που αρχίζει από Βορρά από το ύψος του Γενικού Νοσοκομείου Τρικάλων και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5F3B">
              <w:rPr>
                <w:rFonts w:ascii="Arial" w:hAnsi="Arial" w:cs="Arial"/>
                <w:sz w:val="20"/>
                <w:szCs w:val="20"/>
              </w:rPr>
              <w:t xml:space="preserve">καταλήγει προς Νότο στο ύψος </w:t>
            </w:r>
            <w:proofErr w:type="spellStart"/>
            <w:r w:rsidRPr="003B5F3B">
              <w:rPr>
                <w:rFonts w:ascii="Arial" w:hAnsi="Arial" w:cs="Arial"/>
                <w:sz w:val="20"/>
                <w:szCs w:val="20"/>
              </w:rPr>
              <w:t>τουεργοστασίου</w:t>
            </w:r>
            <w:proofErr w:type="spellEnd"/>
            <w:r w:rsidRPr="003B5F3B">
              <w:rPr>
                <w:rFonts w:ascii="Arial" w:hAnsi="Arial" w:cs="Arial"/>
                <w:sz w:val="20"/>
                <w:szCs w:val="20"/>
              </w:rPr>
              <w:t xml:space="preserve"> γάλακτος «</w:t>
            </w:r>
            <w:proofErr w:type="spellStart"/>
            <w:r w:rsidRPr="003B5F3B">
              <w:rPr>
                <w:rFonts w:ascii="Arial" w:hAnsi="Arial" w:cs="Arial"/>
                <w:sz w:val="20"/>
                <w:szCs w:val="20"/>
              </w:rPr>
              <w:t>Τρίκκη</w:t>
            </w:r>
            <w:proofErr w:type="spellEnd"/>
            <w:r w:rsidRPr="003B5F3B">
              <w:rPr>
                <w:rFonts w:ascii="Arial" w:hAnsi="Arial" w:cs="Arial"/>
                <w:sz w:val="20"/>
                <w:szCs w:val="20"/>
              </w:rPr>
              <w:t xml:space="preserve">», στο όριο του σχεδίου πόλης. </w:t>
            </w:r>
          </w:p>
          <w:p w:rsidR="003B5F3B" w:rsidRPr="003B5F3B" w:rsidRDefault="003B5F3B" w:rsidP="003B5F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3B">
              <w:rPr>
                <w:rFonts w:ascii="Arial" w:hAnsi="Arial" w:cs="Arial"/>
                <w:sz w:val="20"/>
                <w:szCs w:val="20"/>
              </w:rPr>
              <w:t>Η υφιστάμενη οδός διατηρείται, εξασφαλίζοντας την κίνηση και στάθμευση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5F3B">
              <w:rPr>
                <w:rFonts w:ascii="Arial" w:hAnsi="Arial" w:cs="Arial"/>
                <w:sz w:val="20"/>
                <w:szCs w:val="20"/>
              </w:rPr>
              <w:t>οχημάτων, με τις παρεμβάσεις να αφορούν στη διαμόρφωση της ζώνης των πεζοδρομίων εκατέρωθεν αυτής μέχρι το Ο.Τ.Γ908 (οδός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5F3B">
              <w:rPr>
                <w:rFonts w:ascii="Arial" w:hAnsi="Arial" w:cs="Arial"/>
                <w:sz w:val="20"/>
                <w:szCs w:val="20"/>
              </w:rPr>
              <w:t>Τήλου) ενώ στη συνέχεια διαμορφώνονται τα πεζοδρόμια της οδού μόνο της πλευράς προς το σχέδιο πόλης.</w:t>
            </w:r>
          </w:p>
          <w:p w:rsidR="003B5F3B" w:rsidRDefault="003B5F3B" w:rsidP="003B5F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3B">
              <w:rPr>
                <w:rFonts w:ascii="Arial" w:hAnsi="Arial" w:cs="Arial"/>
                <w:sz w:val="20"/>
                <w:szCs w:val="20"/>
              </w:rPr>
              <w:t xml:space="preserve">Εκατέρωθεν και κατά μήκος της οδού θα είναι εγκιβωτισμένος στην στάθμη του πεζοδρομίου, ο </w:t>
            </w:r>
            <w:proofErr w:type="spellStart"/>
            <w:r w:rsidRPr="003B5F3B">
              <w:rPr>
                <w:rFonts w:ascii="Arial" w:hAnsi="Arial" w:cs="Arial"/>
                <w:sz w:val="20"/>
                <w:szCs w:val="20"/>
              </w:rPr>
              <w:t>ποδηλατόδρομος</w:t>
            </w:r>
            <w:proofErr w:type="spellEnd"/>
            <w:r w:rsidRPr="003B5F3B">
              <w:rPr>
                <w:rFonts w:ascii="Arial" w:hAnsi="Arial" w:cs="Arial"/>
                <w:sz w:val="20"/>
                <w:szCs w:val="20"/>
              </w:rPr>
              <w:t xml:space="preserve"> σταθερού πλάτους 1,50μ, μονής κατεύθυνσης, κατά την φορά των αυτοκινήτων με τελική επίστρωση έγχρωμου-κόκκινου βιομηχανικού δαπέδου , μετά </w:t>
            </w:r>
            <w:r>
              <w:rPr>
                <w:rFonts w:ascii="Arial" w:hAnsi="Arial" w:cs="Arial"/>
                <w:sz w:val="20"/>
                <w:szCs w:val="20"/>
              </w:rPr>
              <w:t xml:space="preserve">της </w:t>
            </w:r>
            <w:r w:rsidRPr="003B5F3B">
              <w:rPr>
                <w:rFonts w:ascii="Arial" w:hAnsi="Arial" w:cs="Arial"/>
                <w:sz w:val="20"/>
                <w:szCs w:val="20"/>
              </w:rPr>
              <w:t xml:space="preserve">απαιτουμένης </w:t>
            </w:r>
            <w:proofErr w:type="spellStart"/>
            <w:r w:rsidRPr="003B5F3B">
              <w:rPr>
                <w:rFonts w:ascii="Arial" w:hAnsi="Arial" w:cs="Arial"/>
                <w:sz w:val="20"/>
                <w:szCs w:val="20"/>
              </w:rPr>
              <w:t>υπόβασης</w:t>
            </w:r>
            <w:proofErr w:type="spellEnd"/>
            <w:r w:rsidRPr="003B5F3B">
              <w:rPr>
                <w:rFonts w:ascii="Arial" w:hAnsi="Arial" w:cs="Arial"/>
                <w:sz w:val="20"/>
                <w:szCs w:val="20"/>
              </w:rPr>
              <w:t xml:space="preserve"> από οπλισμένο σκυρόδεμα, αφού πρώτα προηγηθεί η κατασκευή πλακοστρωμένης ζώνης συνολικού πλάτους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5F3B">
              <w:rPr>
                <w:rFonts w:ascii="Arial" w:hAnsi="Arial" w:cs="Arial"/>
                <w:sz w:val="20"/>
                <w:szCs w:val="20"/>
              </w:rPr>
              <w:t>0,70μ για την ασφάλεια του ποδηλάτη. Η ζώνη πρασίνου θα αναπτυχθεί μεταξύ του ποδηλατοδρόμου και του πεζοδρομίου μεταβλητού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5F3B">
              <w:rPr>
                <w:rFonts w:ascii="Arial" w:hAnsi="Arial" w:cs="Arial"/>
                <w:sz w:val="20"/>
                <w:szCs w:val="20"/>
              </w:rPr>
              <w:t>πλάτους 0,60-2,00μ. ανάλογα με το πλάτος του πεζοδρομίου. Τα πεζοδρόμια εκατέρωθεν, μεταβλητού πλάτους 2-3μ. κατασκευάζονται με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5F3B">
              <w:rPr>
                <w:rFonts w:ascii="Arial" w:hAnsi="Arial" w:cs="Arial"/>
                <w:sz w:val="20"/>
                <w:szCs w:val="20"/>
              </w:rPr>
              <w:t xml:space="preserve">έγχρωμες αντιολισθητικές πλάκες πεζοδρομίου. </w:t>
            </w:r>
          </w:p>
          <w:p w:rsidR="003B5F3B" w:rsidRPr="003B5F3B" w:rsidRDefault="003B5F3B" w:rsidP="003B5F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3B">
              <w:rPr>
                <w:rFonts w:ascii="Arial" w:hAnsi="Arial" w:cs="Arial"/>
                <w:sz w:val="20"/>
                <w:szCs w:val="20"/>
              </w:rPr>
              <w:t>Στα σημεία διασταύρωσης κατασκευάζονται ανισόπεδες διαβάσεις με τελική επίστρωση</w:t>
            </w:r>
          </w:p>
          <w:p w:rsidR="003B5F3B" w:rsidRPr="003B5F3B" w:rsidRDefault="003B5F3B" w:rsidP="003B5F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3B">
              <w:rPr>
                <w:rFonts w:ascii="Arial" w:hAnsi="Arial" w:cs="Arial"/>
                <w:sz w:val="20"/>
                <w:szCs w:val="20"/>
              </w:rPr>
              <w:t xml:space="preserve">κυβόλιθου, ενώ στα σημεία όπου απαιτείται διαμορφώνονται ράμπες κλίσης 5% για την εξυπηρέτηση των </w:t>
            </w:r>
            <w:proofErr w:type="spellStart"/>
            <w:r w:rsidRPr="003B5F3B">
              <w:rPr>
                <w:rFonts w:ascii="Arial" w:hAnsi="Arial" w:cs="Arial"/>
                <w:sz w:val="20"/>
                <w:szCs w:val="20"/>
              </w:rPr>
              <w:t>ΑμεΑ</w:t>
            </w:r>
            <w:proofErr w:type="spellEnd"/>
            <w:r w:rsidRPr="003B5F3B">
              <w:rPr>
                <w:rFonts w:ascii="Arial" w:hAnsi="Arial" w:cs="Arial"/>
                <w:sz w:val="20"/>
                <w:szCs w:val="20"/>
              </w:rPr>
              <w:t xml:space="preserve"> . Επιπλέον σε θέσεις με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5F3B">
              <w:rPr>
                <w:rFonts w:ascii="Arial" w:hAnsi="Arial" w:cs="Arial"/>
                <w:sz w:val="20"/>
                <w:szCs w:val="20"/>
              </w:rPr>
              <w:t xml:space="preserve">έντονη υψομετρική διαφορά κατασκευάζονται τοίχοι αντιστήριξης για την προσαρμογή της στάθμης του πεζοδρομίου. Η </w:t>
            </w:r>
            <w:r>
              <w:rPr>
                <w:rFonts w:ascii="Arial" w:hAnsi="Arial" w:cs="Arial"/>
                <w:sz w:val="20"/>
                <w:szCs w:val="20"/>
              </w:rPr>
              <w:t xml:space="preserve">λειτουργικότητα </w:t>
            </w:r>
            <w:r w:rsidRPr="003B5F3B">
              <w:rPr>
                <w:rFonts w:ascii="Arial" w:hAnsi="Arial" w:cs="Arial"/>
                <w:sz w:val="20"/>
                <w:szCs w:val="20"/>
              </w:rPr>
              <w:t xml:space="preserve">της παρέμβασης ολοκληρώνεται με τις απαραίτητες Η/Μ εργασίες για τη δημιουργία νέου δικτύου </w:t>
            </w:r>
            <w:r w:rsidRPr="003B5F3B">
              <w:rPr>
                <w:rFonts w:ascii="Arial" w:hAnsi="Arial" w:cs="Arial"/>
                <w:sz w:val="20"/>
                <w:szCs w:val="20"/>
              </w:rPr>
              <w:lastRenderedPageBreak/>
              <w:t>ηλεκτροφωτισμού.</w:t>
            </w:r>
          </w:p>
          <w:p w:rsidR="003B5F3B" w:rsidRPr="003B5F3B" w:rsidRDefault="003B5F3B" w:rsidP="003B5F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3B">
              <w:rPr>
                <w:rFonts w:ascii="Arial" w:hAnsi="Arial" w:cs="Arial"/>
                <w:sz w:val="20"/>
                <w:szCs w:val="20"/>
              </w:rPr>
              <w:t xml:space="preserve">- 2ο και 3ο υποέργα. Αφορούν στην </w:t>
            </w:r>
            <w:proofErr w:type="spellStart"/>
            <w:r w:rsidRPr="003B5F3B">
              <w:rPr>
                <w:rFonts w:ascii="Arial" w:hAnsi="Arial" w:cs="Arial"/>
                <w:sz w:val="20"/>
                <w:szCs w:val="20"/>
              </w:rPr>
              <w:t>υπογειοποίηση</w:t>
            </w:r>
            <w:proofErr w:type="spellEnd"/>
            <w:r w:rsidRPr="003B5F3B">
              <w:rPr>
                <w:rFonts w:ascii="Arial" w:hAnsi="Arial" w:cs="Arial"/>
                <w:sz w:val="20"/>
                <w:szCs w:val="20"/>
              </w:rPr>
              <w:t xml:space="preserve"> – μετατόπιση των δικτύων κοινής ωφέλειας ΔΕΔΔΗΕ &amp; ΟΤΕ προκειμένου η όδευσή</w:t>
            </w:r>
          </w:p>
          <w:p w:rsidR="00AC343A" w:rsidRPr="00A81ACA" w:rsidRDefault="003B5F3B" w:rsidP="003B5F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3B">
              <w:rPr>
                <w:rFonts w:ascii="Arial" w:hAnsi="Arial" w:cs="Arial"/>
                <w:sz w:val="20"/>
                <w:szCs w:val="20"/>
              </w:rPr>
              <w:t>τους να γίνει ασφαλέστερη και να μην προκαλούν όχληση στο αστικό περιβάλλον και την κίνηση των πεζών.</w:t>
            </w:r>
          </w:p>
        </w:tc>
      </w:tr>
      <w:tr w:rsidR="00AC343A" w:rsidTr="00AC343A">
        <w:tc>
          <w:tcPr>
            <w:tcW w:w="4300" w:type="dxa"/>
          </w:tcPr>
          <w:p w:rsidR="00AC343A" w:rsidRPr="00E732A3" w:rsidRDefault="00AC343A" w:rsidP="00F916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ΚΩΔΙΚΟΣ ΟΠΣ:</w:t>
            </w:r>
          </w:p>
        </w:tc>
        <w:tc>
          <w:tcPr>
            <w:tcW w:w="4222" w:type="dxa"/>
          </w:tcPr>
          <w:p w:rsidR="00AC343A" w:rsidRPr="00BE095E" w:rsidRDefault="004F3331" w:rsidP="003B5F3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505</w:t>
            </w:r>
            <w:r w:rsidR="003B5F3B">
              <w:rPr>
                <w:rFonts w:ascii="Arial" w:hAnsi="Arial" w:cs="Arial"/>
                <w:sz w:val="20"/>
                <w:szCs w:val="20"/>
              </w:rPr>
              <w:t>5803</w:t>
            </w:r>
          </w:p>
        </w:tc>
      </w:tr>
      <w:tr w:rsidR="00AC343A" w:rsidTr="00AC343A">
        <w:tc>
          <w:tcPr>
            <w:tcW w:w="4300" w:type="dxa"/>
          </w:tcPr>
          <w:p w:rsidR="00AC343A" w:rsidRPr="006B0497" w:rsidRDefault="00AC343A" w:rsidP="00F916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0497">
              <w:rPr>
                <w:rFonts w:ascii="Arial" w:hAnsi="Arial" w:cs="Arial"/>
                <w:b/>
                <w:sz w:val="20"/>
                <w:szCs w:val="20"/>
              </w:rPr>
              <w:t>ΑΠΟΦΑΣΗ ΕΝΤΑΞΗΣ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22" w:type="dxa"/>
          </w:tcPr>
          <w:p w:rsidR="00AC343A" w:rsidRPr="00A81ACA" w:rsidRDefault="003B5F3B" w:rsidP="003B5F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</w:t>
            </w:r>
            <w:r w:rsidR="00B84F12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4F3331">
              <w:rPr>
                <w:rFonts w:ascii="Arial" w:hAnsi="Arial" w:cs="Arial"/>
                <w:sz w:val="20"/>
                <w:szCs w:val="20"/>
                <w:lang w:val="en-US"/>
              </w:rPr>
              <w:t>-2020</w:t>
            </w:r>
            <w:r w:rsidR="00AC343A">
              <w:rPr>
                <w:rFonts w:ascii="Arial" w:hAnsi="Arial" w:cs="Arial"/>
                <w:sz w:val="20"/>
                <w:szCs w:val="20"/>
              </w:rPr>
              <w:t xml:space="preserve"> (ΑΔΑ:</w:t>
            </w:r>
            <w:r>
              <w:rPr>
                <w:rFonts w:ascii="Arial" w:hAnsi="Arial" w:cs="Arial"/>
                <w:sz w:val="20"/>
                <w:szCs w:val="20"/>
              </w:rPr>
              <w:t>ΩΞ7Θ7ΛΡ-Ν18</w:t>
            </w:r>
            <w:r w:rsidR="00AC343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AC343A" w:rsidRDefault="00AC343A"/>
    <w:p w:rsidR="00AC343A" w:rsidRDefault="00AC343A"/>
    <w:p w:rsidR="00AC343A" w:rsidRDefault="00AC343A"/>
    <w:p w:rsidR="00AC343A" w:rsidRDefault="00AC343A"/>
    <w:p w:rsidR="00AC343A" w:rsidRDefault="00AC343A" w:rsidP="00AC343A">
      <w:r>
        <w:t xml:space="preserve">   </w:t>
      </w:r>
      <w:r>
        <w:rPr>
          <w:rFonts w:ascii="Calibri" w:eastAsia="Calibri" w:hAnsi="Calibri" w:cs="Calibri"/>
          <w:noProof/>
        </w:rPr>
        <w:drawing>
          <wp:inline distT="0" distB="0" distL="0" distR="0">
            <wp:extent cx="1676400" cy="1143000"/>
            <wp:effectExtent l="1905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lang w:val="en-US"/>
        </w:rPr>
        <w:t xml:space="preserve">                                </w:t>
      </w:r>
      <w:r>
        <w:t xml:space="preserve"> </w:t>
      </w:r>
      <w:r w:rsidRPr="00AC343A">
        <w:rPr>
          <w:noProof/>
        </w:rPr>
        <w:drawing>
          <wp:inline distT="0" distB="0" distL="0" distR="0">
            <wp:extent cx="1609725" cy="962025"/>
            <wp:effectExtent l="19050" t="0" r="9525" b="0"/>
            <wp:docPr id="5" name="Εικόνα 2" descr="espa1420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pa1420_logo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</w:p>
    <w:p w:rsidR="00AC343A" w:rsidRDefault="00AC343A"/>
    <w:sectPr w:rsidR="00AC343A" w:rsidSect="00E532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343A"/>
    <w:rsid w:val="001D03D6"/>
    <w:rsid w:val="003B5F3B"/>
    <w:rsid w:val="004B2B52"/>
    <w:rsid w:val="004F3331"/>
    <w:rsid w:val="00527AD1"/>
    <w:rsid w:val="006604A9"/>
    <w:rsid w:val="00815A9A"/>
    <w:rsid w:val="00875B2B"/>
    <w:rsid w:val="009E26E2"/>
    <w:rsid w:val="00A2463A"/>
    <w:rsid w:val="00AC343A"/>
    <w:rsid w:val="00B84F12"/>
    <w:rsid w:val="00BE095E"/>
    <w:rsid w:val="00DC25AB"/>
    <w:rsid w:val="00E5327B"/>
    <w:rsid w:val="00F8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ιμένου Char"/>
    <w:basedOn w:val="a0"/>
    <w:link w:val="a4"/>
    <w:rsid w:val="00AC343A"/>
    <w:rPr>
      <w:rFonts w:ascii="Microsoft Sans Serif" w:hAnsi="Microsoft Sans Serif"/>
      <w:sz w:val="14"/>
      <w:szCs w:val="14"/>
      <w:shd w:val="clear" w:color="auto" w:fill="FFFFFF"/>
    </w:rPr>
  </w:style>
  <w:style w:type="paragraph" w:styleId="a4">
    <w:name w:val="Body Text"/>
    <w:basedOn w:val="a"/>
    <w:link w:val="Char"/>
    <w:rsid w:val="00AC343A"/>
    <w:pPr>
      <w:widowControl w:val="0"/>
      <w:shd w:val="clear" w:color="auto" w:fill="FFFFFF"/>
      <w:spacing w:before="840" w:after="480" w:line="240" w:lineRule="atLeast"/>
      <w:ind w:hanging="400"/>
    </w:pPr>
    <w:rPr>
      <w:rFonts w:ascii="Microsoft Sans Serif" w:eastAsiaTheme="minorHAnsi" w:hAnsi="Microsoft Sans Serif" w:cstheme="minorBidi"/>
      <w:sz w:val="14"/>
      <w:szCs w:val="14"/>
      <w:lang w:eastAsia="en-US"/>
    </w:rPr>
  </w:style>
  <w:style w:type="character" w:customStyle="1" w:styleId="Char1">
    <w:name w:val="Σώμα κειμένου Char1"/>
    <w:basedOn w:val="a0"/>
    <w:link w:val="a4"/>
    <w:uiPriority w:val="99"/>
    <w:semiHidden/>
    <w:rsid w:val="00AC343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AC343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C343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413</Words>
  <Characters>2236</Characters>
  <Application>Microsoft Office Word</Application>
  <DocSecurity>0</DocSecurity>
  <Lines>18</Lines>
  <Paragraphs>5</Paragraphs>
  <ScaleCrop>false</ScaleCrop>
  <Company>Grizli777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egian</dc:creator>
  <cp:lastModifiedBy>egian</cp:lastModifiedBy>
  <cp:revision>10</cp:revision>
  <dcterms:created xsi:type="dcterms:W3CDTF">2022-05-18T11:35:00Z</dcterms:created>
  <dcterms:modified xsi:type="dcterms:W3CDTF">2022-05-19T07:23:00Z</dcterms:modified>
</cp:coreProperties>
</file>