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26 Σεπτεμβρίου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50621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1C8A4E01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49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5D571341" w14:textId="00DF3324" w:rsidR="000A3D69" w:rsidRPr="000A27B0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τακτική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30η του μηνός Σεπτεμβρίου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12:30</w:t>
      </w:r>
      <w:r w:rsidR="0099780C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για την συζήτηση και λήψη αποφάσεων στα παρακάτω θέματα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D0CF6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:</w:t>
      </w:r>
    </w:p>
    <w:p w14:paraId="56072FEB" w14:textId="5B1FA2C1" w:rsidR="00590536" w:rsidRPr="001E0C32" w:rsidRDefault="00CF25D6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13476976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092877">
        <w:rPr>
          <w:rFonts w:ascii="Verdana" w:eastAsiaTheme="minorEastAsia" w:hAnsi="Verdana"/>
          <w:sz w:val="18"/>
          <w:szCs w:val="18"/>
          <w:lang w:val="en-US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Αποδοχή δωρεάς.</w:t>
      </w:r>
    </w:p>
    <w:p w14:paraId="66D63996" w14:textId="260E79B9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31907153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F33C42B" w14:textId="6244A139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2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πραγματοποίηση εκδήλωσης για τον Πολιτισμό της Καθημερινότητας, σε συνδιοργάνωση του Δήμου Τρικκαίων με την Τρικαλινή Λέσχη Προβληματισμού, στις 4 Οκτωβρίου 2025 στα Τρίκαλα.</w:t>
      </w:r>
    </w:p>
    <w:p w14:paraId="2FF998CA" w14:textId="461CD8FD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718170032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0EB3755" w14:textId="587D5B32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3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πίστωσης για την κάλυψη δαπάνης παράθεσης δείπνου προς τιμήν των συνέδρων του 13ου Συμποσίου Τρικαλινών Σπουδών, που συνδιοργανώνει ο Φιλολογικός, Ιστορικός, Λογοτεχνικός Σύνδεσμος Τρικάλων με τον Δήμο Τρικκαίων, την Παρασκευή 7 Νοεμβρίου 2025, στην αίθουσα του Δίδυμου Οθωμανικού Λουτρού στο Μουσείο Τσιτσάνη.</w:t>
      </w:r>
    </w:p>
    <w:p w14:paraId="2AB682F5" w14:textId="37874FC5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838496180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E841C3F" w14:textId="2C097FD0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4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Εξειδίκευση  πίστωσης  για  ηλεκτροδοτήσεις  σε  δημοτικούς   χώρους  του Δήμου  Τρικκαίων.</w:t>
      </w:r>
    </w:p>
    <w:p w14:paraId="2D3C923A" w14:textId="748C88A7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6034774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F5EAB6F" w14:textId="2C4B755D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5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διαγραφής εισφοράς σε χρήμα από οφειλέτη του Δήμου λόγω μη  υποχρέωσης καταβολής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0DE37361" w14:textId="36E61F49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74479955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12BB7C0" w14:textId="55265E2F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6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="0099780C">
        <w:rPr>
          <w:rFonts w:ascii="Verdana" w:eastAsiaTheme="minorEastAsia" w:hAnsi="Verdana"/>
          <w:sz w:val="18"/>
          <w:szCs w:val="18"/>
        </w:rPr>
        <w:t xml:space="preserve"> 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απόδοσης λογαριασμού χρηματικού εντάλματος προπληρωμής και απαλλαγή του υπολόγου υπαλλήλου  Μαγγίνα Γεωργίου.</w:t>
      </w:r>
    </w:p>
    <w:p w14:paraId="3535290D" w14:textId="7F540BA8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49471339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57FA2FAF" w14:textId="499AB6A9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7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9η Αναμόρφωση προϋπολογισμού Δήμου Τρικκαίων, οικονομικού έτους 2025.</w:t>
      </w:r>
    </w:p>
    <w:p w14:paraId="34042331" w14:textId="5D9C58C8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99915504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BD152F4" w14:textId="796EAD93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8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Ορισμός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Αναστασίας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Τζάνη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ως υπολόγου έκδοσης χρηματικού εντάλματος προπληρωμής .</w:t>
      </w:r>
    </w:p>
    <w:p w14:paraId="18682473" w14:textId="72FCB7FB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59417482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CCC4EAF" w14:textId="1CAABBCC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9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Ορισμός της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κας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Δήμητρας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Ντέρη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ως υπολόγου έκδοσης χρηματικού εντάλματος προπληρωμής .</w:t>
      </w:r>
    </w:p>
    <w:p w14:paraId="44F37B05" w14:textId="6D798B0B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52809208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7418E1B" w14:textId="5AA169F9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10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="0099780C">
        <w:rPr>
          <w:rFonts w:ascii="Verdana" w:eastAsiaTheme="minorEastAsia" w:hAnsi="Verdana"/>
          <w:sz w:val="18"/>
          <w:szCs w:val="18"/>
        </w:rPr>
        <w:t xml:space="preserve"> 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Έγκριση 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τοποθέτησης 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κυρτού 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(κοίλου) 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καθρέπτη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ασφαλείας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στη 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συμβολή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των 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οδών 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Φώκου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και Υπατίας.</w:t>
      </w:r>
    </w:p>
    <w:p w14:paraId="48F5585B" w14:textId="35C10DAE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24477192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BFCC657" w14:textId="0FEAFCDF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11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9780C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περί τοποθέτησης πινακίδων πεζοδρόμου Ρ-55 στη δημοτική «οδό Κνωσού».</w:t>
      </w:r>
    </w:p>
    <w:p w14:paraId="1B51CC80" w14:textId="196C5514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1480425779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9B0B571" w14:textId="485C16FE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12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="0099780C">
        <w:rPr>
          <w:rFonts w:ascii="Verdana" w:eastAsiaTheme="minorEastAsia" w:hAnsi="Verdana"/>
          <w:sz w:val="18"/>
          <w:szCs w:val="18"/>
        </w:rPr>
        <w:t xml:space="preserve"> 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Γνωμοδότηση επί των προσωρινών κυκλοφοριακών ρυθμίσεων εργοταξιακού χαρακτήρα του έργου: «ΔΗΜΙΟΥΡΓΙΑ ΕΚΤΕΤΑΜΕΝΟΥ ΔΙΚΤΥΟΥ ΠΟΔΗΛΑΤΟΔΡΟΜΩΝ ΥΠΟΕΡΓΟ 1: ΔΗΜΙΟΥΡΓΙΑ ΕΚΤΕΤΑΜΕΝΟΥ ΔΙΚΤΥΟΥ ΠΟΔΗΛΑΤΟΔΡΟΜΩΝ» αναδόχου Κοινοπραξίας «Α.ΤΣΙΝΑΣ ΚΑΙ ΣΙΑ Ο.Ε. – Π.ΣΓΟΥΡΑΛΗΣ ΚΑΙ ΣΙΑ Ε.Ε.».</w:t>
      </w:r>
    </w:p>
    <w:p w14:paraId="3B2DA46A" w14:textId="17A2239B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03904160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83DF4D4" w14:textId="77777777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13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Συμπλήρωση της υπ΄αριθμ. 176/2016 απόφασης της Επιτροπής Ποιότητας Ζωής (υπ' αριθμ. 607/2016 απόφαση Δημοτικού Συμβουλίου)  του Δήμου Τρικκαίων με θέμα "Κανονιστική Διάταξη σχετικά με την στάθμευση στην πόλη".</w:t>
      </w:r>
    </w:p>
    <w:p w14:paraId="7BE66E76" w14:textId="3352D767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538198803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723041A5" w14:textId="77777777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14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 2 της Επιτροπής διενέργειας του ανοιχτού ηλεκτρονικού  διαγωνισμού επιλογής αναδόχου για την κατασκευή του έργου:  «ΑΣΦΑΛΤΟΣΤΡΩΣΕΙΣ ΣΤΟΝ ΟΙΚΙΣΜΟ ΡΟΜΑ ΣΤΟ ΚΗΠΑΚΙ ΔΗΜΟΥ ΤΡΙΚΚΑΙΩΝ - Β' ΦΑΣΗ» .</w:t>
      </w:r>
    </w:p>
    <w:p w14:paraId="40535B57" w14:textId="294E4B79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31232787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6A59CC91" w14:textId="77777777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15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Έγκριση Πρακτικού  2 της Επιτροπής διενέργειας του ανοιχτού ηλεκτρονικού  διαγωνισμού επιλογής αναδόχου για την κατασκευή του έργου: «ΑΠΟΚΑΤΑΣΤΑΣΗ ΖΗΜΙΩΝ ΚΑΙ ΕΡΓΑΣΙΕΣ ΑΝΤΙΠΛΗΜΜΥΡΙΚΗΣ ΠΡΟΣΤΑΣΙΑΣ ΜΕΤΑ ΤΗΝ ΚΑΤΑΣΤΡΟΦΙΚΗ ΠΛΗΜΜΥΡΑ DANIEL ΣΤΟ ΔΗΜΟ ΤΡΙΚΚΑΙΩΝΥΠΟΕΡΓΟ 2: ΕΡΓΑΣΙΕΣ ΑΠΟΚΑΤΑΣΤΑΣΗΣ ΖΗΜΙΩΝ ΣΕ ΥΠΟΔΟΜΕΣ ΚΑΙ ΔΙΚΤΥΑ ΤΟΥ Δ. ΤΡΙΚΚΑΙΩΝ ΜΕΤΑ ΤΗΝ ΚΑΤΑΣΤΡΟΦΙΚΗ ΠΛΗΜΜΥΡΑ DANIEL».</w:t>
      </w:r>
    </w:p>
    <w:p w14:paraId="1209C3C6" w14:textId="34FDCF3E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92800713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3EAD524A" w14:textId="51A47B57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16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="0099780C">
        <w:rPr>
          <w:rFonts w:ascii="Verdana" w:eastAsiaTheme="minorEastAsia" w:hAnsi="Verdana"/>
          <w:sz w:val="18"/>
          <w:szCs w:val="18"/>
        </w:rPr>
        <w:t xml:space="preserve"> 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του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κ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>ου</w:t>
      </w:r>
      <w:proofErr w:type="spellEnd"/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proofErr w:type="spellStart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Kότσιρα</w:t>
      </w:r>
      <w:proofErr w:type="spellEnd"/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 Γεώργιου του  Κωνσταντίνου ιδιοκτήτη ταβέρνας με την επωνυμία «Αμυγδαλιές» .</w:t>
      </w:r>
    </w:p>
    <w:p w14:paraId="1A3ABC4C" w14:textId="6E401B30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2637621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12F0FD79" w14:textId="54EF5975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17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="0099780C">
        <w:rPr>
          <w:rFonts w:ascii="Verdana" w:eastAsiaTheme="minorEastAsia" w:hAnsi="Verdana"/>
          <w:sz w:val="18"/>
          <w:szCs w:val="18"/>
        </w:rPr>
        <w:t xml:space="preserve"> 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 xml:space="preserve">Παραχώρηση κοινόχρηστου χώρου για εκδήλωση προσωρινού χαρακτήρα, σύμφωνα με την αίτηση του του </w:t>
      </w:r>
      <w:proofErr w:type="spellStart"/>
      <w:r w:rsidR="0099780C">
        <w:rPr>
          <w:rFonts w:ascii="Verdana" w:hAnsi="Verdana" w:cs="Cambria"/>
          <w:bCs/>
          <w:color w:val="000000"/>
          <w:sz w:val="18"/>
          <w:szCs w:val="18"/>
        </w:rPr>
        <w:t>κου</w:t>
      </w:r>
      <w:proofErr w:type="spellEnd"/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Παπαγεωργίου Θωμά, υπευθύνου  της επιχείρησης  με την επωνυμία «Μικρό».</w:t>
      </w:r>
    </w:p>
    <w:p w14:paraId="4238D97B" w14:textId="457E4F79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871953451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629C4F7" w14:textId="2E2479A9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18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99780C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Παραχώρηση κοινόχρηστου χώρου για εκδήλωση προσωρινού χαρακτήρα σύμφωνα με την  αίτηση  της  κας Μαρμάγγελου Μαρίας.</w:t>
      </w:r>
    </w:p>
    <w:p w14:paraId="4B76249A" w14:textId="748336CF" w:rsidR="00590536" w:rsidRPr="001E0C32" w:rsidRDefault="00CF25D6" w:rsidP="0099780C">
      <w:pPr>
        <w:pStyle w:val="a5"/>
        <w:numPr>
          <w:ilvl w:val="0"/>
          <w:numId w:val="36"/>
        </w:numPr>
        <w:spacing w:after="160" w:line="256" w:lineRule="auto"/>
        <w:ind w:left="426" w:hanging="483"/>
        <w:jc w:val="both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483213464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99780C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264336F5" w14:textId="23E60AE0" w:rsidR="004A2BA4" w:rsidRDefault="002820FC" w:rsidP="0099780C">
      <w:pPr>
        <w:pStyle w:val="a5"/>
        <w:numPr>
          <w:ilvl w:val="0"/>
          <w:numId w:val="36"/>
        </w:numPr>
        <w:ind w:left="426" w:hanging="483"/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19</w:t>
      </w:r>
      <w:r w:rsidR="00B67C55" w:rsidRPr="0099780C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Λήψη απόφασης επί της 5ης τροποποίησης της υπ'αριθμ.545/2015 Α.Δ.Σ.</w:t>
      </w:r>
      <w:r w:rsidR="0099780C">
        <w:rPr>
          <w:rFonts w:ascii="Verdana" w:hAnsi="Verdana" w:cs="Cambria"/>
          <w:bCs/>
          <w:color w:val="000000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"Κανονισμός Χρήσης    Κοινοχρήστων Χώρων Δ. Τρικκαίων".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CF25D6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8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BD8B0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9"/>
  </w:num>
  <w:num w:numId="5" w16cid:durableId="5609487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1"/>
  </w:num>
  <w:num w:numId="9" w16cid:durableId="1416243095">
    <w:abstractNumId w:val="4"/>
  </w:num>
  <w:num w:numId="10" w16cid:durableId="253169183">
    <w:abstractNumId w:val="12"/>
  </w:num>
  <w:num w:numId="11" w16cid:durableId="119492068">
    <w:abstractNumId w:val="26"/>
  </w:num>
  <w:num w:numId="12" w16cid:durableId="910583580">
    <w:abstractNumId w:val="13"/>
  </w:num>
  <w:num w:numId="13" w16cid:durableId="1008599151">
    <w:abstractNumId w:val="16"/>
  </w:num>
  <w:num w:numId="14" w16cid:durableId="2107770074">
    <w:abstractNumId w:val="2"/>
  </w:num>
  <w:num w:numId="15" w16cid:durableId="268508179">
    <w:abstractNumId w:val="0"/>
  </w:num>
  <w:num w:numId="16" w16cid:durableId="431826172">
    <w:abstractNumId w:val="1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0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5"/>
  </w:num>
  <w:num w:numId="27" w16cid:durableId="437678134">
    <w:abstractNumId w:val="6"/>
  </w:num>
  <w:num w:numId="28" w16cid:durableId="1216965209">
    <w:abstractNumId w:val="3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8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7"/>
  </w:num>
  <w:num w:numId="36" w16cid:durableId="2685081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2F01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38B3"/>
    <w:rsid w:val="00966B54"/>
    <w:rsid w:val="00971B14"/>
    <w:rsid w:val="009861B5"/>
    <w:rsid w:val="0099780C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9F4743" w:rsidP="009F4743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02F01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9F4743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F4743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9F4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9F4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9F47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3755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2025-09-26T10:44:00Z</dcterms:created>
  <dcterms:modified xsi:type="dcterms:W3CDTF">2025-09-26T10:44:00Z</dcterms:modified>
</cp:coreProperties>
</file>