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FAE0CB0" w:rsidR="00AA4449" w:rsidRPr="00092877" w:rsidRDefault="000B5412" w:rsidP="00AA4449">
            <w:pPr>
              <w:widowControl w:val="0"/>
              <w:autoSpaceDE w:val="0"/>
              <w:autoSpaceDN w:val="0"/>
              <w:adjustRightInd w:val="0"/>
              <w:spacing w:line="798" w:lineRule="exact"/>
              <w:rPr>
                <w:rFonts w:ascii="Verdana" w:hAnsi="Verdana"/>
                <w:sz w:val="18"/>
                <w:szCs w:val="18"/>
              </w:rPr>
            </w:pPr>
            <w:r w:rsidRPr="00092877">
              <w:rPr>
                <w:rFonts w:ascii="Verdana" w:hAnsi="Verdana"/>
                <w:noProof/>
                <w:sz w:val="18"/>
                <w:szCs w:val="18"/>
              </w:rPr>
              <w:drawing>
                <wp:anchor distT="0" distB="0" distL="114300" distR="114300" simplePos="0" relativeHeight="251659264" behindDoc="0" locked="0" layoutInCell="1" allowOverlap="1" wp14:anchorId="1F65EBD9" wp14:editId="5651C7AD">
                  <wp:simplePos x="0" y="0"/>
                  <wp:positionH relativeFrom="margin">
                    <wp:posOffset>36830</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r w:rsidR="00AA4449" w:rsidRPr="00092877">
              <w:rPr>
                <w:rFonts w:ascii="Verdana" w:hAnsi="Verdana"/>
                <w:sz w:val="18"/>
                <w:szCs w:val="18"/>
              </w:rPr>
              <w:tab/>
            </w:r>
            <w:r w:rsidR="00AA4449" w:rsidRPr="00092877">
              <w:rPr>
                <w:rFonts w:ascii="Verdana" w:hAnsi="Verdana" w:cs="Cambria"/>
                <w:color w:val="000000"/>
                <w:sz w:val="18"/>
                <w:szCs w:val="18"/>
              </w:rPr>
              <w:t xml:space="preserve"> </w:t>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31160051"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w:t>
            </w:r>
            <w:r w:rsidR="000B5412">
              <w:rPr>
                <w:rFonts w:ascii="Verdana" w:hAnsi="Verdana" w:cs="Cambria"/>
                <w:b/>
                <w:bCs/>
                <w:color w:val="000000"/>
                <w:sz w:val="18"/>
                <w:szCs w:val="18"/>
              </w:rPr>
              <w:t>9</w:t>
            </w:r>
            <w:r w:rsidR="00070740" w:rsidRPr="00092877">
              <w:rPr>
                <w:rFonts w:ascii="Verdana" w:hAnsi="Verdana" w:cs="Cambria"/>
                <w:b/>
                <w:bCs/>
                <w:color w:val="000000"/>
                <w:sz w:val="18"/>
                <w:szCs w:val="18"/>
              </w:rPr>
              <w:t xml:space="preserve"> Μαΐου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50448</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F8D16BE" w14:textId="1F9D341E" w:rsidR="00B1220E"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Arial"/>
                <w:color w:val="000000"/>
                <w:sz w:val="18"/>
                <w:szCs w:val="18"/>
              </w:rPr>
              <w:t>τον αναπληρωτή σας).</w:t>
            </w: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29</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02η του μηνός Ιουνίου έτους 2026,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12:00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C9099F"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μετακίνηση παιδιών που είναι εγγεγραμμένα στη δυναμικότητα των ΚΔΑΠ του τμήματος Φροντίδας Παιδικής Ηλικίας του Δήμου Τρικκαίων.</w:t>
      </w:r>
    </w:p>
    <w:p w14:paraId="0261E50B" w14:textId="70662D76"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37590730"/>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1FF15982"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τις υπηρεσίες οργάνωσης εκδήλωσης, για την εμφάνιση παραδοσιακής ορχήστρας από το Δήμο Τρικκαίων στο  Φεστιβάλ Παλιάς Πόλης του Άμπεργκ, με αφορμή τον εορτασμό της 25ης επετείου της αδελφοποίησης των πόλεων μεταξύ Άμπεργκ και Τρικάλων την Κυριακή 14 Ιουνίου 2026.</w:t>
      </w:r>
    </w:p>
    <w:p w14:paraId="09038DF9" w14:textId="7D8C867F"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91438950"/>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035659E6"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εκδήλωση των εγκαινίων νέας πλατείας στα Τρίκαλα, δωρεά της εταιρείας ΕΛΛΗΝΙΚΑ ΓΑΛΑΚΤΟΚΟΜΕΙΑ Α.Ε.</w:t>
      </w:r>
    </w:p>
    <w:p w14:paraId="22C38235" w14:textId="2A34777D"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00476521"/>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064211A4"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υπ' αριθμ.290/2026 απόφασης της Δημοτικής Επιτροπής με θέμα "Εξειδίκευση πίστωσης για υπηρεσίες  οργάνωσης της παρουσίασης και τη σύνταξη του φακέλου υποψηφιότητας του «Μουσείου Τσιτσάνη» στα Ευρωπαϊκά Βραβεία Μουσείων 2026, που θα πραγματοποιηθούν στις 11 - 14 Ιουνίου 2026 στην πόλη Μπιλμπάο της Ισπανίας .</w:t>
      </w:r>
    </w:p>
    <w:p w14:paraId="2FAB72EE" w14:textId="21860094"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94091547"/>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5542BCD5"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του Ν.Ε του Ν. που αφορούν σε τέλος 2% επί των ακαθαρίστων εσόδων  καταστημάτων υγειονομικού ενδιαφέροντος , ως αχρεωστήτως βεβαιωθέντα.</w:t>
      </w:r>
    </w:p>
    <w:p w14:paraId="7C531197" w14:textId="247C75E2"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67024342"/>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0AE8C295"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Περί  διαγραφής  πράξης   βεβαίωσης  παράβασης  από χρηματικό  κατάλογο ως αχρεωστήτως βεβαιωθέν.</w:t>
      </w:r>
    </w:p>
    <w:p w14:paraId="1E7D8428" w14:textId="06DF4E7D"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01790949"/>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02C58287"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Περί διαγραφής πράξεων  βεβαίωσης παράβασης ΚΟΚ Τροχαίας Τρικάλων από χρηματικό κατάλογο και επιστροφής ποσού.</w:t>
      </w:r>
    </w:p>
    <w:p w14:paraId="6E2D15C9" w14:textId="2C48182E"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21310891"/>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3144F3AD"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επιστροφής  ποσού στον Κ.Β.  που αφορά σε τέλος 0,5% επί των ακαθαρίστων εσόδων  καταστημάτων υγειονομικού ενδιαφέροντος   , ως αχρεωστήτως εισπραχθέν.</w:t>
      </w:r>
    </w:p>
    <w:p w14:paraId="3D44FA5B" w14:textId="36E028AE"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81516288"/>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305F2BBA"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επιστροφής  ποσού τέλους 0,5% επί των ακαθαρίστων εσόδων  καταστημάτων υγειονομικού ενδιαφέροντος και   παρεπιδημούντων, ως αχρεωστήτως καταβληθέν.</w:t>
      </w:r>
    </w:p>
    <w:p w14:paraId="4E1D3E55" w14:textId="7F02B48D"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12447610"/>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189FF717"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   44395/20-5-2026 αίτηση περί απαλλαγής προσαυξήσεων</w:t>
      </w:r>
    </w:p>
    <w:p w14:paraId="4BD6F702" w14:textId="52C1E7D7"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63994042"/>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4CD1C3C7"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Αποζημίωση της  Α. Μ.-Λ., στην περιοχή ‘’Δεξιά οδού Καλαμπάκας’’</w:t>
      </w:r>
    </w:p>
    <w:p w14:paraId="265094D1" w14:textId="69D30382"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0452538"/>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33924B31"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απόδοσης λογαριασμού χρηματικού εντάλματος προπληρωμής και την απαλλαγή της υπολόγου υπαλλήλου  Ντέρη Δήμητρας</w:t>
      </w:r>
    </w:p>
    <w:p w14:paraId="0E5B766A" w14:textId="3C841522"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77392219"/>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1316AE6B"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απόδοσης λογαριασμού χρηματικού εντάλματος προπληρωμής και την απαλλαγή της υπολόγου υπαλλήλου Τζάνη Ανατασία.</w:t>
      </w:r>
    </w:p>
    <w:p w14:paraId="682E0800" w14:textId="31C1620F"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46857361"/>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68EA09F0"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σχετικά με τη σύναψη και ανάθεση δημόσιας σύμβασης για την εκτέλεση εργασιών καθαρισμού ιδιωτικών οικοπεδικών και ακάλυπτων χώρων στο Δήμο Τρικκαίων για λόγους πυροπροστασίας.</w:t>
      </w:r>
    </w:p>
    <w:p w14:paraId="758C19FF" w14:textId="75B5C031"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99475394"/>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3DB39C5B"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έγκρισης ή μη της γνωμοδότησης Πενταμελούς Επιτροπής Παρακολούθησης του Επιχειρησιακού Προγράμματος Διαχείρισης των αδέσποτων ζώων συντροφιάς Δήμου Τρικκαίων με θέμα  «Οριοθέτηση περιοχών επανένταξης αδέσποτων ζώων συντροφιάς</w:t>
      </w:r>
    </w:p>
    <w:p w14:paraId="2E821C03" w14:textId="7694BB7A"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94705659"/>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34F7D538"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δωρεάς της  «OΜΗΡΟΣ ΒΙΟΜΗΧΑΝΙΑ ΓΑΛΑΚΤΟΣ ΑΕΒΕ» για την ανάπλαση της πλατείας της Αγίας Μονής  Τρικάλων και την τοποθέτηση νέου μνημείου προς τιμή του Δημήτρη Μητροπάνου  συνολικού ποσού 155.014,76€ συμπεριλαμβανομένου του Φ.Π.Α.</w:t>
      </w:r>
    </w:p>
    <w:p w14:paraId="22BB8902" w14:textId="7FCBEE1E"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20592032"/>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2FB45380"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2ου ΑΝΑΚΕΦΑΛΑΙΩΤΙΚΟΥ ΠΙΝΑΚΑ ΕΡΓΑΣΙΩΝ 2ου Π.Κ.Τ.Μ.Ν.Ε ΚΑΙ 1ης  ΣΥΜΠΛΗΡΩΜΑΤΙΚΗΣ ΣΥΜΒΑΣΗΣ του  έργου "ΨΗΦΙΑΚΟ ΔΙΑΔΡΑΣΤΙΚΟ ΑΣΚΛΗΠΙΕΙΟ ΚΟΖΙΑΚΑ"</w:t>
      </w:r>
    </w:p>
    <w:p w14:paraId="33F427D9" w14:textId="2A7BC82F"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01244880"/>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6DD3CC05"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Εγκριση του 5ου Ανακεφαλαιωτικού Πίνακα Εργασιών και τροποποίηση της 1ης Συμπληρωματικής Σύμβασης   του έργου «ΔΗΜΙΟΥΡΓΙΑ ΕΚΤΕΤΑΜΕΝΟΥ ΔΙΚΤΥΟΥ ΠΟΔΗΛΑΤΟΔΡΟΜΩΝ  ΥΠΟΕΡΓΟ 1: ΔΗΜΙΟΥΡΓΙΑ ΕΚΤΕΤΑΜΕΝΟΥ ΔΙΚΤΥΟΥ ΠΟΔΗΛΑΤΟΔΡΟΜΩΝ.</w:t>
      </w:r>
    </w:p>
    <w:p w14:paraId="7146D4D3" w14:textId="05067C30"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67195527"/>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2E3DA5FF"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κατόπιν  αίτηση της  κ. Αναστασιάδου Δέσποινα του Προδρόμου.</w:t>
      </w:r>
    </w:p>
    <w:p w14:paraId="0E15E89A" w14:textId="730CADE8"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6974898"/>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76588FBD"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Ελευθερίου Αυγέρου.</w:t>
      </w:r>
    </w:p>
    <w:p w14:paraId="3E8F2AAA" w14:textId="6F542BCE"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17790178"/>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417F8750"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21</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παραχώρησης κοινόχρηστου χώρου για εκδήλωση προσωρινού χαρακτήρα σε νέα ημερομηνία διεξαγωγής  σύμφωνα με την αίτηση της Ελληνικής Επιτροπής για την Διεθνή Ύφεση και Ειρήνη Τρικάλων  ΕΕΔΥΕΤ .</w:t>
      </w:r>
    </w:p>
    <w:p w14:paraId="5476E02D" w14:textId="420D54EB"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53311247"/>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1685E89A" w14:textId="77777777"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Μη άσκηση εφέσεως κατά της αριθμ. Α162/2026 απόφασης του Διοικητικού Πρωτοδικείου Τρικάλων ( Τμήμα 2ο - Τριμελές ) και της ένωσης Οικονομικών Φορέων " ΑΝΑΠΤΥΞΙΑΚΕΣ ΥΠΗΡΕΣΙΕΣ ΣΥΜΒΟΥΛΩΝ ΚΑΙ  ΠΛΗΡΟΦΟΡΙΚΗΣ ΑΝΩΝΥΜΗ ΕΤΑΙΡΕΙΑ - ΜΕLON LABS E.E.  ( αριθμ. πρωτ. εισερχ. 38876/12.05.2026 εγγράφου )</w:t>
      </w:r>
    </w:p>
    <w:p w14:paraId="2A39138B" w14:textId="29EB729F" w:rsidR="00590536" w:rsidRPr="001E0C32" w:rsidRDefault="00C9099F" w:rsidP="000E618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15204751"/>
          <w:placeholder>
            <w:docPart w:val="94CBD2C426CA4D789532584A08D1DCB0"/>
          </w:placeholder>
          <w:showingPlcHdr/>
          <w15:color w:val="000000"/>
        </w:sdtPr>
        <w:sdtEndPr/>
        <w:sdtContent>
          <w:r w:rsidR="000B5412" w:rsidRPr="00EA2A2E">
            <w:rPr>
              <w:rStyle w:val="a4"/>
              <w:rFonts w:ascii="Verdana" w:hAnsi="Verdana"/>
              <w:b/>
              <w:color w:val="000000" w:themeColor="text1"/>
              <w:sz w:val="18"/>
              <w:szCs w:val="18"/>
              <w:u w:val="single"/>
              <w:lang w:val="en-US"/>
            </w:rPr>
            <w:t xml:space="preserve"> </w:t>
          </w:r>
        </w:sdtContent>
      </w:sdt>
    </w:p>
    <w:p w14:paraId="38C023DD" w14:textId="345083D0" w:rsidR="004A2BA4" w:rsidRDefault="002820FC" w:rsidP="000E618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23</w:t>
      </w:r>
      <w:r w:rsidR="00B67C55" w:rsidRPr="000B5412">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Μη άσκηση εφέσεως κατά της αριθμ. Α353/2025 απόφασης του Διοικητικού Πρωτοδικείου Τρικάλων, Τμήμα 1ο Μονομελές και κατά του Ιωάννη Σπυράκη του Δημητρίου </w:t>
      </w:r>
      <w:r w:rsidR="00FC252B">
        <w:rPr>
          <w:rFonts w:ascii="Verdana" w:hAnsi="Verdana" w:cs="Cambria"/>
          <w:bCs/>
          <w:color w:val="000000"/>
          <w:sz w:val="18"/>
          <w:szCs w:val="18"/>
        </w:rPr>
        <w:t>(</w:t>
      </w:r>
      <w:r w:rsidR="00204AC3" w:rsidRPr="00092877">
        <w:rPr>
          <w:rFonts w:ascii="Verdana" w:hAnsi="Verdana" w:cs="Cambria"/>
          <w:bCs/>
          <w:color w:val="000000"/>
          <w:sz w:val="18"/>
          <w:szCs w:val="18"/>
        </w:rPr>
        <w:t>αριθμ. πρωτ. εισ. 19450/07.04.2026  )</w:t>
      </w:r>
    </w:p>
    <w:p w14:paraId="78A20DA5" w14:textId="77777777" w:rsidR="00C9442D" w:rsidRPr="00092877" w:rsidRDefault="00C9442D" w:rsidP="000E618E">
      <w:pPr>
        <w:pStyle w:val="a5"/>
        <w:ind w:left="0"/>
        <w:jc w:val="both"/>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06DFAB95" w:rsidR="00D42AC4" w:rsidRPr="001D4836" w:rsidRDefault="00300647"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 xml:space="preserve"> </w:t>
            </w:r>
            <w:r w:rsidR="00BB645A">
              <w:rPr>
                <w:rFonts w:ascii="Verdana" w:hAnsi="Verdana"/>
                <w:b/>
                <w:sz w:val="18"/>
                <w:szCs w:val="18"/>
              </w:rPr>
              <w:t>Σοφία Αλεστά</w:t>
            </w:r>
          </w:p>
          <w:p w14:paraId="64B78141" w14:textId="0FDD9B95" w:rsidR="006B23F1" w:rsidRPr="00092877" w:rsidRDefault="00FC252B" w:rsidP="00167A8D">
            <w:pPr>
              <w:widowControl w:val="0"/>
              <w:tabs>
                <w:tab w:val="left" w:pos="720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 xml:space="preserve"> </w:t>
            </w:r>
            <w:r w:rsidR="00300647">
              <w:rPr>
                <w:rFonts w:ascii="Verdana" w:hAnsi="Verdana" w:cs="Calibri"/>
                <w:b/>
                <w:bCs/>
                <w:color w:val="000000"/>
                <w:sz w:val="18"/>
                <w:szCs w:val="18"/>
              </w:rPr>
              <w:t xml:space="preserve">  </w:t>
            </w:r>
            <w:r w:rsidR="006B23F1"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58DBF99C"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4EB834FD"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1EEA5E6A"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25E538A3"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423B5BDB"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782120C5"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6DEBE01B"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0A3AA52F" w14:textId="77777777" w:rsidR="00300647" w:rsidRDefault="00300647" w:rsidP="006F0CA2">
      <w:pPr>
        <w:widowControl w:val="0"/>
        <w:tabs>
          <w:tab w:val="left" w:pos="15"/>
        </w:tabs>
        <w:autoSpaceDE w:val="0"/>
        <w:autoSpaceDN w:val="0"/>
        <w:adjustRightInd w:val="0"/>
        <w:jc w:val="both"/>
        <w:rPr>
          <w:rFonts w:ascii="Verdana" w:hAnsi="Verdana"/>
          <w:sz w:val="18"/>
          <w:szCs w:val="18"/>
        </w:rPr>
      </w:pPr>
    </w:p>
    <w:p w14:paraId="5E1ED7F2" w14:textId="77777777" w:rsidR="00FC252B" w:rsidRDefault="00FC252B" w:rsidP="006F0CA2">
      <w:pPr>
        <w:widowControl w:val="0"/>
        <w:tabs>
          <w:tab w:val="left" w:pos="15"/>
        </w:tabs>
        <w:autoSpaceDE w:val="0"/>
        <w:autoSpaceDN w:val="0"/>
        <w:adjustRightInd w:val="0"/>
        <w:jc w:val="both"/>
        <w:rPr>
          <w:rFonts w:ascii="Verdana" w:hAnsi="Verdana"/>
          <w:sz w:val="18"/>
          <w:szCs w:val="18"/>
        </w:rPr>
      </w:pPr>
    </w:p>
    <w:p w14:paraId="5DA52EBA" w14:textId="77777777" w:rsidR="00FC252B" w:rsidRDefault="00FC252B" w:rsidP="006F0CA2">
      <w:pPr>
        <w:widowControl w:val="0"/>
        <w:tabs>
          <w:tab w:val="left" w:pos="15"/>
        </w:tabs>
        <w:autoSpaceDE w:val="0"/>
        <w:autoSpaceDN w:val="0"/>
        <w:adjustRightInd w:val="0"/>
        <w:jc w:val="both"/>
        <w:rPr>
          <w:rFonts w:ascii="Verdana" w:hAnsi="Verdana"/>
          <w:sz w:val="18"/>
          <w:szCs w:val="18"/>
        </w:rPr>
      </w:pPr>
    </w:p>
    <w:p w14:paraId="5329BC9B" w14:textId="77777777" w:rsidR="00FC252B" w:rsidRPr="00092877" w:rsidRDefault="00FC252B"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C9099F"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068442"/>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B5412"/>
    <w:rsid w:val="000C2292"/>
    <w:rsid w:val="000C5FB5"/>
    <w:rsid w:val="000E618E"/>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0647"/>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A6A8E"/>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37787"/>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252B"/>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2C50E5" w:rsidP="002C50E5">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50E5"/>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A6A8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656D9"/>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50E5"/>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2C50E5"/>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2C50E5"/>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2C50E5"/>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2026-05-29T11:28:00Z</dcterms:created>
  <dcterms:modified xsi:type="dcterms:W3CDTF">2026-05-29T11:28:00Z</dcterms:modified>
</cp:coreProperties>
</file>